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32"/>
        </w:rPr>
        <w:t>INFORMATIVA SUL TRATTAMENTO DEI DATI PERSONALI</w:t>
      </w:r>
    </w:p>
    <w:p>
      <w:pPr>
        <w:spacing w:after="40"/>
        <w:jc w:val="center"/>
      </w:pPr>
      <w:r>
        <w:rPr>
          <w:b/>
          <w:i w:val="0"/>
        </w:rPr>
        <w:t>Portale Archery Hub</w:t>
      </w:r>
    </w:p>
    <w:p>
      <w:pPr>
        <w:spacing w:after="40"/>
        <w:jc w:val="center"/>
      </w:pPr>
      <w:hyperlink r:id="rId10">
        <w:r>
          <w:rPr>
            <w:color w:val="0563C1"/>
            <w:u w:val="single"/>
          </w:rPr>
          <w:t xml:space="preserve">www.archeryhub.it</w:t>
        </w:r>
      </w:hyperlink>
      <w:r>
        <w:rPr>
          <w:b w:val="0"/>
          <w:i w:val="0"/>
        </w:rPr>
        <w:t xml:space="preserve"> e </w:t>
      </w:r>
      <w:hyperlink r:id="rId11">
        <w:r>
          <w:rPr>
            <w:color w:val="0563C1"/>
            <w:u w:val="single"/>
          </w:rPr>
          <w:t xml:space="preserve">www.archeryhub.eu</w:t>
        </w:r>
      </w:hyperlink>
    </w:p>
    <w:p>
      <w:pPr>
        <w:spacing w:after="40"/>
        <w:jc w:val="center"/>
      </w:pPr>
      <w:r>
        <w:rPr>
          <w:b w:val="0"/>
          <w:i w:val="0"/>
        </w:rPr>
        <w:t>Sito vetrina e area riservata</w:t>
      </w:r>
    </w:p>
    <w:p>
      <w:pPr>
        <w:spacing w:after="40"/>
        <w:jc w:val="center"/>
      </w:pPr>
      <w:r>
        <w:rPr>
          <w:b w:val="0"/>
          <w:i w:val="0"/>
        </w:rPr>
        <w:t>Ultimo aggiornamento: 6 agosto 2026</w:t>
      </w:r>
    </w:p>
    <w:p>
      <w:pPr>
        <w:keepNext/>
        <w:spacing w:before="320" w:after="120"/>
      </w:pPr>
      <w:r>
        <w:rPr>
          <w:b/>
          <w:sz w:val="26"/>
        </w:rPr>
        <w:t>1. Premessa e ambito di applicazione</w:t>
      </w:r>
    </w:p>
    <w:p>
      <w:pPr>
        <w:jc w:val="both"/>
      </w:pPr>
      <w:r>
        <w:rPr>
          <w:b w:val="0"/>
          <w:i w:val="0"/>
        </w:rPr>
        <w:t>La presente informativa è resa ai sensi degli articoli 13 e 14 del Regolamento (UE) 2016/679 del Parlamento europeo e del Consiglio del 27 aprile 2016, relativo alla protezione delle persone fisiche con riguardo al trattamento dei dati personali (di seguito, il "Regolamento" o "GDPR"), nonché in conformità al Decreto Legislativo 30 giugno 2003, n. 196, recante il Codice in materia di protezione dei dati personali, come modificato dal Decreto Legislativo 10 agosto 2018, n. 101 (di seguito, il "Codice Privacy").</w:t>
      </w:r>
    </w:p>
    <w:p>
      <w:pPr>
        <w:jc w:val="both"/>
      </w:pPr>
      <w:r>
        <w:rPr>
          <w:b w:val="0"/>
          <w:i w:val="0"/>
        </w:rPr>
        <w:t xml:space="preserve">Il documento descrive le modalità con cui AMT di Francesco Toso tratta i dati personali degli utenti che consultano il sito vetrina raggiungibile agli indirizzi </w:t>
      </w:r>
      <w:hyperlink r:id="rId10">
        <w:r>
          <w:rPr>
            <w:color w:val="0563C1"/>
            <w:u w:val="single"/>
          </w:rPr>
          <w:t xml:space="preserve">www.archeryhub.it</w:t>
        </w:r>
      </w:hyperlink>
      <w:r>
        <w:rPr>
          <w:b w:val="0"/>
          <w:i w:val="0"/>
        </w:rPr>
        <w:t xml:space="preserve"> e </w:t>
      </w:r>
      <w:hyperlink r:id="rId11">
        <w:r>
          <w:rPr>
            <w:color w:val="0563C1"/>
            <w:u w:val="single"/>
          </w:rPr>
          <w:t xml:space="preserve">www.archeryhub.eu</w:t>
        </w:r>
      </w:hyperlink>
      <w:r>
        <w:rPr>
          <w:b w:val="0"/>
          <w:i w:val="0"/>
        </w:rPr>
        <w:t>, e di coloro che accedono all'area riservata del portale Archery Hub (di seguito, il "Portale"), a prescindere dalla tipologia di account attivata.</w:t>
      </w:r>
    </w:p>
    <w:p>
      <w:pPr>
        <w:jc w:val="both"/>
      </w:pPr>
      <w:r>
        <w:rPr>
          <w:b w:val="0"/>
          <w:i w:val="0"/>
        </w:rPr>
        <w:t xml:space="preserve">Il dominio </w:t>
      </w:r>
      <w:hyperlink r:id="rId11">
        <w:r>
          <w:rPr>
            <w:color w:val="0563C1"/>
            <w:u w:val="single"/>
          </w:rPr>
          <w:t xml:space="preserve">www.archeryhub.eu</w:t>
        </w:r>
      </w:hyperlink>
      <w:r>
        <w:rPr>
          <w:b w:val="0"/>
          <w:i w:val="0"/>
        </w:rPr>
        <w:t xml:space="preserve"> costituisce reindirizzamento tecnico verso </w:t>
      </w:r>
      <w:hyperlink r:id="rId10">
        <w:r>
          <w:rPr>
            <w:color w:val="0563C1"/>
            <w:u w:val="single"/>
          </w:rPr>
          <w:t xml:space="preserve">www.archeryhub.it</w:t>
        </w:r>
      </w:hyperlink>
      <w:r>
        <w:rPr>
          <w:b w:val="0"/>
          <w:i w:val="0"/>
        </w:rPr>
        <w:t xml:space="preserve"> e non ospita autonomi trattamenti. Ogni riferimento contenuto nella presente informativa al sito </w:t>
      </w:r>
      <w:hyperlink r:id="rId10">
        <w:r>
          <w:rPr>
            <w:color w:val="0563C1"/>
            <w:u w:val="single"/>
          </w:rPr>
          <w:t xml:space="preserve">www.archeryhub.it</w:t>
        </w:r>
      </w:hyperlink>
      <w:r>
        <w:rPr>
          <w:b w:val="0"/>
          <w:i w:val="0"/>
        </w:rPr>
        <w:t xml:space="preserve"> deve pertanto intendersi esteso al dominio europeo.</w:t>
      </w:r>
    </w:p>
    <w:p>
      <w:pPr>
        <w:jc w:val="both"/>
      </w:pPr>
      <w:r>
        <w:rPr>
          <w:b w:val="0"/>
          <w:i w:val="0"/>
        </w:rPr>
        <w:t>La lettura dell'informativa è distinta per due aree funzionali. La prima parte riguarda la navigazione del sito vetrina, accessibile senza registrazione. La seconda parte concerne l'area riservata e si articola secondo le quattro tipologie di account previste dal Portale, ossia società sportiva, arciere, tecnico, e operatore commerciale. Sono infine trattati in sezioni autonome gli aspetti che presentano profili di particolare delicatezza, quali la posizione dei minori di età, le scadenze delle certificazioni mediche, e l'utilizzo dei dati pubblicati dalla Federazione Italiana di Tiro con l'Arco.</w:t>
      </w:r>
    </w:p>
    <w:p>
      <w:pPr>
        <w:jc w:val="both"/>
      </w:pPr>
      <w:r>
        <w:rPr>
          <w:b w:val="0"/>
          <w:i w:val="0"/>
        </w:rPr>
        <w:t>Un'informativa distinta, consultabile alla pagina dedicata del Portale, disciplina l'impiego dei cookie e degli altri strumenti di tracciamento.</w:t>
      </w:r>
    </w:p>
    <w:p>
      <w:pPr>
        <w:keepNext/>
        <w:spacing w:before="320" w:after="120"/>
      </w:pPr>
      <w:r>
        <w:rPr>
          <w:b/>
          <w:sz w:val="26"/>
        </w:rPr>
        <w:t>2. Titolare del trattamento</w:t>
      </w:r>
    </w:p>
    <w:p>
      <w:pPr>
        <w:jc w:val="both"/>
      </w:pPr>
      <w:r>
        <w:rPr>
          <w:b w:val="0"/>
          <w:i w:val="0"/>
        </w:rPr>
        <w:t>Titolare del trattamento, ai sensi dell'articolo 4, numero 7), del Regolamento, è:</w:t>
      </w:r>
    </w:p>
    <w:p>
      <w:pPr>
        <w:spacing w:after="40"/>
        <w:jc w:val="center"/>
      </w:pPr>
      <w:r>
        <w:rPr>
          <w:b/>
          <w:i w:val="0"/>
        </w:rPr>
        <w:t>AMT di Francesco Toso</w:t>
      </w:r>
    </w:p>
    <w:p>
      <w:pPr>
        <w:spacing w:after="40"/>
        <w:jc w:val="center"/>
      </w:pPr>
      <w:r>
        <w:rPr>
          <w:b w:val="0"/>
          <w:i w:val="0"/>
        </w:rPr>
        <w:t>Via San Pietro 60, 20033 Solaro (MI), Italia</w:t>
      </w:r>
    </w:p>
    <w:p>
      <w:pPr>
        <w:spacing w:after="40"/>
        <w:jc w:val="center"/>
      </w:pPr>
      <w:r>
        <w:rPr>
          <w:b w:val="0"/>
          <w:i w:val="0"/>
        </w:rPr>
        <w:t>Codice fiscale: TSOFNC80B22C933Z</w:t>
      </w:r>
    </w:p>
    <w:p>
      <w:pPr>
        <w:spacing w:after="40"/>
        <w:jc w:val="center"/>
      </w:pPr>
      <w:r>
        <w:rPr>
          <w:b w:val="0"/>
          <w:i w:val="0"/>
        </w:rPr>
        <w:t>Partita IVA: 13333860966</w:t>
      </w:r>
    </w:p>
    <w:p>
      <w:pPr>
        <w:spacing w:after="40"/>
        <w:jc w:val="center"/>
      </w:pPr>
      <w:r>
        <w:rPr>
          <w:b w:val="0"/>
          <w:i w:val="0"/>
        </w:rPr>
        <w:t>Numero REA: MI-2716348</w:t>
      </w:r>
    </w:p>
    <w:p>
      <w:pPr>
        <w:spacing w:after="40"/>
        <w:jc w:val="center"/>
      </w:pPr>
      <w:r>
        <w:rPr>
          <w:b w:val="0"/>
          <w:i w:val="0"/>
        </w:rPr>
        <w:t xml:space="preserve">Indirizzo di posta elettronica: </w:t>
      </w:r>
      <w:hyperlink r:id="rId12">
        <w:r>
          <w:rPr>
            <w:color w:val="0563C1"/>
            <w:u w:val="single"/>
          </w:rPr>
          <w:t xml:space="preserve">info@archeryhub.it</w:t>
        </w:r>
      </w:hyperlink>
    </w:p>
    <w:p>
      <w:pPr>
        <w:spacing w:after="40"/>
        <w:jc w:val="center"/>
      </w:pPr>
      <w:r>
        <w:rPr>
          <w:b w:val="0"/>
          <w:i w:val="0"/>
        </w:rPr>
        <w:t xml:space="preserve">Indirizzo di posta elettronica certificata: </w:t>
      </w:r>
      <w:hyperlink r:id="rId17">
        <w:r>
          <w:rPr>
            <w:color w:val="0563C1"/>
            <w:u w:val="single"/>
          </w:rPr>
          <w:t xml:space="preserve">toso.francesco@pec.it</w:t>
        </w:r>
      </w:hyperlink>
    </w:p>
    <w:p>
      <w:pPr>
        <w:jc w:val="both"/>
      </w:pPr>
      <w:r>
        <w:rPr>
          <w:b w:val="0"/>
          <w:i w:val="0"/>
        </w:rPr>
        <w:t>I recapiti sopra riportati assolvono altresì agli obblighi informativi generali previsti dall'articolo 7 del Decreto Legislativo 9 aprile 2003, n. 70, in materia di commercio elettronico.</w:t>
      </w:r>
    </w:p>
    <w:p>
      <w:pPr>
        <w:jc w:val="both"/>
      </w:pPr>
      <w:r>
        <w:rPr>
          <w:b w:val="0"/>
          <w:i w:val="0"/>
        </w:rPr>
        <w:t xml:space="preserve">Ogni istanza relativa al trattamento dei dati personali, ivi compreso l'esercizio dei diritti descritti alla Sezione 20, può essere indirizzata all'indirizzo </w:t>
      </w:r>
      <w:hyperlink r:id="rId12">
        <w:r>
          <w:rPr>
            <w:color w:val="0563C1"/>
            <w:u w:val="single"/>
          </w:rPr>
          <w:t xml:space="preserve">info@archeryhub.it</w:t>
        </w:r>
      </w:hyperlink>
      <w:r>
        <w:rPr>
          <w:b w:val="0"/>
          <w:i w:val="0"/>
        </w:rPr>
        <w:t>, ovvero trasmessa per posta ordinaria alla sede sopra indicata.</w:t>
      </w:r>
    </w:p>
    <w:p>
      <w:pPr>
        <w:keepNext/>
        <w:spacing w:before="320" w:after="120"/>
      </w:pPr>
      <w:r>
        <w:rPr>
          <w:b/>
          <w:sz w:val="26"/>
        </w:rPr>
        <w:t>3. Responsabile della protezione dei dati</w:t>
      </w:r>
    </w:p>
    <w:p>
      <w:pPr>
        <w:jc w:val="both"/>
      </w:pPr>
      <w:r>
        <w:rPr>
          <w:b w:val="0"/>
          <w:i w:val="0"/>
        </w:rPr>
        <w:t>AMT ha condotto la valutazione prescritta dall'articolo 37, paragrafo 1, del Regolamento, verificando l'assenza dei presupposti che rendono obbligatoria la designazione di un responsabile della protezione dei dati. Il trattamento non costituisce monitoraggio regolare e sistematico degli interessati su larga scala ai sensi della lettera b) della disposizione richiamata, né ha per oggetto, su larga scala, categorie particolari di dati ai sensi della lettera c).</w:t>
      </w:r>
    </w:p>
    <w:p>
      <w:pPr>
        <w:jc w:val="both"/>
      </w:pPr>
      <w:r>
        <w:rPr>
          <w:b w:val="0"/>
          <w:i w:val="0"/>
        </w:rPr>
        <w:t>La valutazione sarà riesaminata al variare del perimetro operativo del Portale, con particolare riguardo alla crescita del numero di utenti registrati e all'eventuale estensione dei servizi a nuovi ambiti territoriali. Nelle more, ogni comunicazione in materia di protezione dei dati va indirizzata al Titolare ai recapiti indicati alla Sezione 2.</w:t>
      </w:r>
    </w:p>
    <w:p>
      <w:pPr>
        <w:keepNext/>
        <w:spacing w:before="320" w:after="120"/>
      </w:pPr>
      <w:r>
        <w:rPr>
          <w:b/>
          <w:sz w:val="26"/>
        </w:rPr>
        <w:t>4. Definizioni operative</w:t>
      </w:r>
    </w:p>
    <w:p>
      <w:pPr>
        <w:jc w:val="both"/>
      </w:pPr>
      <w:r>
        <w:rPr>
          <w:b w:val="0"/>
          <w:i w:val="0"/>
        </w:rPr>
        <w:t>Ai fini della presente informativa valgono le definizioni contenute nell'articolo 4 del Regolamento. Alcune espressioni ricorrenti assumono inoltre il significato di seguito precisato:</w:t>
      </w:r>
    </w:p>
    <w:p>
      <w:pPr>
        <w:pStyle w:val="ListBullet"/>
        <w:spacing w:after="120"/>
        <w:ind w:left="510"/>
      </w:pPr>
      <w:r>
        <w:rPr>
          <w:b/>
          <w:i w:val="0"/>
        </w:rPr>
        <w:t>Portale</w:t>
      </w:r>
      <w:r>
        <w:rPr>
          <w:b w:val="0"/>
          <w:i w:val="0"/>
        </w:rPr>
        <w:t xml:space="preserve">: l'applicativo software accessibile previa autenticazione all'indirizzo </w:t>
      </w:r>
      <w:hyperlink r:id="rId10">
        <w:r>
          <w:rPr>
            <w:color w:val="0563C1"/>
            <w:u w:val="single"/>
          </w:rPr>
          <w:t xml:space="preserve">www.archeryhub.it</w:t>
        </w:r>
      </w:hyperlink>
      <w:r>
        <w:rPr>
          <w:b w:val="0"/>
          <w:i w:val="0"/>
        </w:rPr>
        <w:t>, comprensivo di tutti i moduli funzionali destinati alla gestione delle società di tiro con l'arco.</w:t>
      </w:r>
    </w:p>
    <w:p>
      <w:pPr>
        <w:pStyle w:val="ListBullet"/>
        <w:spacing w:after="120"/>
        <w:ind w:left="510"/>
      </w:pPr>
      <w:r>
        <w:rPr>
          <w:b/>
          <w:i w:val="0"/>
        </w:rPr>
        <w:t>Sito vetrina</w:t>
      </w:r>
      <w:r>
        <w:rPr>
          <w:b w:val="0"/>
          <w:i w:val="0"/>
        </w:rPr>
        <w:t>: le pagine pubbliche del dominio, consultabili senza registrazione, che illustrano le caratteristiche del servizio.</w:t>
      </w:r>
    </w:p>
    <w:p>
      <w:pPr>
        <w:pStyle w:val="ListBullet"/>
        <w:spacing w:after="120"/>
        <w:ind w:left="510"/>
      </w:pPr>
      <w:r>
        <w:rPr>
          <w:b/>
          <w:i w:val="0"/>
        </w:rPr>
        <w:t>Società</w:t>
      </w:r>
      <w:r>
        <w:rPr>
          <w:b w:val="0"/>
          <w:i w:val="0"/>
        </w:rPr>
        <w:t>: l'associazione o società sportiva dilettantistica che sottoscrive il contratto di utilizzo del Portale e attiva un account della corrispondente tipologia.</w:t>
      </w:r>
    </w:p>
    <w:p>
      <w:pPr>
        <w:pStyle w:val="ListBullet"/>
        <w:spacing w:after="120"/>
        <w:ind w:left="510"/>
      </w:pPr>
      <w:r>
        <w:rPr>
          <w:b/>
          <w:i w:val="0"/>
        </w:rPr>
        <w:t>Arciere</w:t>
      </w:r>
      <w:r>
        <w:rPr>
          <w:b w:val="0"/>
          <w:i w:val="0"/>
        </w:rPr>
        <w:t>: la persona fisica che pratica il tiro con l'arco, a titolo agonistico o amatoriale, e che dispone di un account personale.</w:t>
      </w:r>
    </w:p>
    <w:p>
      <w:pPr>
        <w:pStyle w:val="ListBullet"/>
        <w:spacing w:after="120"/>
        <w:ind w:left="510"/>
      </w:pPr>
      <w:r>
        <w:rPr>
          <w:b/>
          <w:i w:val="0"/>
        </w:rPr>
        <w:t>Tecnico</w:t>
      </w:r>
      <w:r>
        <w:rPr>
          <w:b w:val="0"/>
          <w:i w:val="0"/>
        </w:rPr>
        <w:t>: l'istruttore, l'allenatore, o comunque il soggetto che eroga prestazioni tecniche a favore di uno o più arcieri attraverso le funzionalità dedicate.</w:t>
      </w:r>
    </w:p>
    <w:p>
      <w:pPr>
        <w:pStyle w:val="ListBullet"/>
        <w:spacing w:after="120"/>
        <w:ind w:left="510"/>
      </w:pPr>
      <w:r>
        <w:rPr>
          <w:b/>
          <w:i w:val="0"/>
        </w:rPr>
        <w:t>Operatore commerciale</w:t>
      </w:r>
      <w:r>
        <w:rPr>
          <w:b w:val="0"/>
          <w:i w:val="0"/>
        </w:rPr>
        <w:t>: l'esercente di attività di rivendita di attrezzature per il tiro con l'arco titolare di un account a pagamento.</w:t>
      </w:r>
    </w:p>
    <w:p>
      <w:pPr>
        <w:pStyle w:val="ListBullet"/>
        <w:spacing w:after="120"/>
        <w:ind w:left="510"/>
      </w:pPr>
      <w:r>
        <w:rPr>
          <w:b/>
          <w:i w:val="0"/>
        </w:rPr>
        <w:t>Tesserato</w:t>
      </w:r>
      <w:r>
        <w:rPr>
          <w:b w:val="0"/>
          <w:i w:val="0"/>
        </w:rPr>
        <w:t>: l'arciere il cui profilo è stato creato o collegato da una Società nell'esercizio delle proprie funzioni associative.</w:t>
      </w:r>
    </w:p>
    <w:p>
      <w:pPr>
        <w:keepNext/>
        <w:spacing w:before="320" w:after="120"/>
      </w:pPr>
      <w:r>
        <w:rPr>
          <w:b/>
          <w:sz w:val="26"/>
        </w:rPr>
        <w:t>5. Architettura del Portale e ripartizione dei ruoli privacy</w:t>
      </w:r>
    </w:p>
    <w:p>
      <w:pPr>
        <w:jc w:val="both"/>
      </w:pPr>
      <w:r>
        <w:rPr>
          <w:b w:val="0"/>
          <w:i w:val="0"/>
        </w:rPr>
        <w:t>La corretta comprensione della presente informativa presuppone la distinzione fra due piani di trattamento che convivono all'interno del medesimo applicativo.</w:t>
      </w:r>
    </w:p>
    <w:p>
      <w:pPr>
        <w:keepNext/>
        <w:spacing w:before="220" w:after="80"/>
      </w:pPr>
      <w:r>
        <w:rPr>
          <w:b/>
          <w:sz w:val="23"/>
        </w:rPr>
        <w:t>5.1 Trattamenti in cui AMT opera quale titolare</w:t>
      </w:r>
    </w:p>
    <w:p>
      <w:pPr>
        <w:jc w:val="both"/>
      </w:pPr>
      <w:r>
        <w:rPr>
          <w:b w:val="0"/>
          <w:i w:val="0"/>
        </w:rPr>
        <w:t>AMT agisce in qualità di titolare autonomo del trattamento per tutte le operazioni riconducibili alla gestione del rapporto contrattuale con i propri utenti diretti. Rientrano in tale ambito la registrazione degli account, l'autenticazione, la fatturazione degli abbonamenti, l'assistenza tecnica, la vendita dei videocorsi, la gestione delle comunicazioni istituzionali, e la sicurezza dell'infrastruttura. Con riferimento a tali trattamenti, gli interessati esercitano i propri diritti nei confronti di AMT secondo le modalità indicate alla Sezione 20.</w:t>
      </w:r>
    </w:p>
    <w:p>
      <w:pPr>
        <w:keepNext/>
        <w:spacing w:before="220" w:after="80"/>
      </w:pPr>
      <w:r>
        <w:rPr>
          <w:b/>
          <w:sz w:val="23"/>
        </w:rPr>
        <w:t>5.2 Trattamenti in cui AMT opera quale responsabile</w:t>
      </w:r>
    </w:p>
    <w:p>
      <w:pPr>
        <w:jc w:val="both"/>
      </w:pPr>
      <w:r>
        <w:rPr>
          <w:b w:val="0"/>
          <w:i w:val="0"/>
        </w:rPr>
        <w:t>Quando una Società inserisce nel Portale i dati dei propri tesserati, ovvero alimenta le funzioni di contabilità, di comunicazione interna, o di gestione delle iscrizioni alle competizioni, la titolarità del trattamento permane in capo alla Società stessa. AMT tratta quei dati esclusivamente per conto della Società, sulla base delle istruzioni documentate contenute nell'atto di nomina a responsabile del trattamento allegato al contratto di utilizzo del software.</w:t>
      </w:r>
    </w:p>
    <w:p>
      <w:pPr>
        <w:jc w:val="both"/>
      </w:pPr>
      <w:r>
        <w:rPr>
          <w:b w:val="0"/>
          <w:i w:val="0"/>
        </w:rPr>
        <w:t>La distinzione produce conseguenze concrete. L'arciere che intenda ottenere la cancellazione dei dati inseriti dalla propria Società, o contestare la correttezza di una statistica sportiva caricata dal sodalizio di appartenenza, deve rivolgere l'istanza alla Società. AMT presta in tal caso l'assistenza tecnica necessaria a dare seguito alla richiesta, senza tuttavia sostituirsi al titolare nella valutazione della medesima. Analoga ripartizione vale per i dati che il Tecnico inserisce nell'esercizio della propria attività professionale a favore degli arcieri seguiti.</w:t>
      </w:r>
    </w:p>
    <w:p>
      <w:pPr>
        <w:keepNext/>
        <w:spacing w:before="220" w:after="80"/>
      </w:pPr>
      <w:r>
        <w:rPr>
          <w:b/>
          <w:sz w:val="23"/>
        </w:rPr>
        <w:t>5.3 Assenza di contitolarità</w:t>
      </w:r>
    </w:p>
    <w:p>
      <w:pPr>
        <w:jc w:val="both"/>
      </w:pPr>
      <w:r>
        <w:rPr>
          <w:b w:val="0"/>
          <w:i w:val="0"/>
        </w:rPr>
        <w:t>La ripartizione descritta ai punti che precedono riflette l'effettiva determinazione delle finalità e dei mezzi di ciascun trattamento. Le finalità e i mezzi dei trattamenti descritti alla Sezione 5.1 sono determinati unicamente da AMT; quelli descritti alla Sezione 5.2 sono determinati unicamente dalla Società o dal Tecnico.</w:t>
      </w:r>
    </w:p>
    <w:p>
      <w:pPr>
        <w:jc w:val="both"/>
      </w:pPr>
      <w:r>
        <w:rPr>
          <w:b w:val="0"/>
          <w:i w:val="0"/>
        </w:rPr>
        <w:t>Non ricorrono pertanto i presupposti della contitolarità di cui all'articolo 26 del Regolamento, che presuppone la determinazione congiunta delle finalità e dei mezzi. La qualificazione dei ruoli discende dalle circostanze concrete del trattamento e non dalla sola volontà delle parti; AMT riesamina la ripartizione al variare delle funzionalità del Portale e delle modalità con cui i titolari vi operano.</w:t>
      </w:r>
    </w:p>
    <w:p>
      <w:pPr>
        <w:keepNext/>
        <w:spacing w:before="320" w:after="120"/>
      </w:pPr>
      <w:r>
        <w:rPr>
          <w:b/>
          <w:sz w:val="26"/>
        </w:rPr>
        <w:t>6. Dati trattati nella navigazione del sito vetrina</w:t>
      </w:r>
    </w:p>
    <w:p>
      <w:pPr>
        <w:keepNext/>
        <w:spacing w:before="220" w:after="80"/>
      </w:pPr>
      <w:r>
        <w:rPr>
          <w:b/>
          <w:sz w:val="23"/>
        </w:rPr>
        <w:t>6.1 Dati di navigazione</w:t>
      </w:r>
    </w:p>
    <w:p>
      <w:pPr>
        <w:jc w:val="both"/>
      </w:pPr>
      <w:r>
        <w:rPr>
          <w:b w:val="0"/>
          <w:i w:val="0"/>
        </w:rPr>
        <w:t>I sistemi informatici e le procedure software preposte al funzionamento del sito acquisiscono, nel corso del loro normale esercizio, alcuni dati la cui trasmissione è implicita nell'uso dei protocolli di comunicazione di Internet. Si tratta di informazioni non raccolte per essere associate a interessati identificati, ma che per loro stessa natura potrebbero consentire di identificare gli utenti attraverso elaborazioni e associazioni con dati detenuti da terzi.</w:t>
      </w:r>
    </w:p>
    <w:p>
      <w:pPr>
        <w:jc w:val="both"/>
      </w:pPr>
      <w:r>
        <w:rPr>
          <w:b w:val="0"/>
          <w:i w:val="0"/>
        </w:rPr>
        <w:t>Rientrano nella categoria gli indirizzi IP, il tipo di browser e di sistema operativo, i nomi a dominio dei computer utilizzati per la connessione, gli indirizzi in notazione URI delle risorse richieste, l'orario della richiesta, il metodo utilizzato nel sottoporre la richiesta al server, la dimensione del file ottenuto in risposta, e il codice numerico indicante lo stato della risposta fornita dal server.</w:t>
      </w:r>
    </w:p>
    <w:p>
      <w:pPr>
        <w:jc w:val="both"/>
      </w:pPr>
      <w:r>
        <w:rPr>
          <w:b w:val="0"/>
          <w:i w:val="0"/>
        </w:rPr>
        <w:t>I dati indicati sono utilizzati al solo fine di ricavare informazioni statistiche anonime sull'uso del sito, di controllarne il corretto funzionamento, e di individuare anomalie o tentativi di accesso illecito. La base giuridica è rinvenibile nel legittimo interesse del Titolare alla sicurezza delle proprie infrastrutture, ai sensi dell'articolo 6, paragrafo 1, lettera f), del Regolamento, come chiarito dal Considerando 49 del medesimo.</w:t>
      </w:r>
    </w:p>
    <w:p>
      <w:pPr>
        <w:keepNext/>
        <w:spacing w:before="220" w:after="80"/>
      </w:pPr>
      <w:r>
        <w:rPr>
          <w:b/>
          <w:sz w:val="23"/>
        </w:rPr>
        <w:t>6.2 Modulo di contatto e richieste di informazioni</w:t>
      </w:r>
    </w:p>
    <w:p>
      <w:pPr>
        <w:jc w:val="both"/>
      </w:pPr>
      <w:r>
        <w:rPr>
          <w:b w:val="0"/>
          <w:i w:val="0"/>
        </w:rPr>
        <w:t>L'invio facoltativo, esplicito, e volontario di messaggi agli indirizzi di contatto pubblicati sul sito, ovvero la compilazione dei moduli ivi presenti, comporta l'acquisizione dei dati identificativi e di recapito del mittente, unitamente a ogni altro dato personale eventualmente contenuto nella comunicazione.</w:t>
      </w:r>
    </w:p>
    <w:p>
      <w:pPr>
        <w:jc w:val="both"/>
      </w:pPr>
      <w:r>
        <w:rPr>
          <w:b w:val="0"/>
          <w:i w:val="0"/>
        </w:rPr>
        <w:t>Il trattamento è finalizzato al riscontro della richiesta e trova fondamento nell'esecuzione di misure precontrattuali adottate su istanza dell'interessato, ai sensi dell'articolo 6, paragrafo 1, lettera b), del Regolamento. Qualora la richiesta non sia riconducibile a un rapporto contrattuale, anche solo potenziale, la base giuridica è costituita dal legittimo interesse del Titolare a dare riscontro alle comunicazioni ricevute.</w:t>
      </w:r>
    </w:p>
    <w:p>
      <w:pPr>
        <w:keepNext/>
        <w:spacing w:before="220" w:after="80"/>
      </w:pPr>
      <w:r>
        <w:rPr>
          <w:b/>
          <w:sz w:val="23"/>
        </w:rPr>
        <w:t>6.3 Cookie e strumenti di tracciamento</w:t>
      </w:r>
    </w:p>
    <w:p>
      <w:pPr>
        <w:jc w:val="both"/>
      </w:pPr>
      <w:r>
        <w:rPr>
          <w:b w:val="0"/>
          <w:i w:val="0"/>
        </w:rPr>
        <w:t>Le informazioni relative ai cookie tecnici, analitici, e di profilazione eventualmente installati sul dispositivo dell'utente sono contenute nella Cookie Policy, richiamata in ogni pagina del sito e accessibile anche dal banner di prima informativa. La disciplina di riferimento è costituita dall'articolo 122 del Codice Privacy, come interpretato dalle Linee guida cookie e altri strumenti di tracciamento adottate dal Garante per la protezione dei dati personali con provvedimento del 10 giugno 2021, n. 231, pubblicato nella Gazzetta Ufficiale del 9 luglio 2021.</w:t>
      </w:r>
    </w:p>
    <w:p>
      <w:pPr>
        <w:keepNext/>
        <w:spacing w:before="320" w:after="120"/>
      </w:pPr>
      <w:r>
        <w:rPr>
          <w:b/>
          <w:sz w:val="26"/>
        </w:rPr>
        <w:t>7. Dati trattati nell'area riservata</w:t>
      </w:r>
    </w:p>
    <w:p>
      <w:pPr>
        <w:keepNext/>
        <w:spacing w:before="220" w:after="80"/>
      </w:pPr>
      <w:r>
        <w:rPr>
          <w:b/>
          <w:sz w:val="23"/>
        </w:rPr>
        <w:t>7.1 Dati comuni a tutte le tipologie di account</w:t>
      </w:r>
    </w:p>
    <w:p>
      <w:pPr>
        <w:jc w:val="both"/>
      </w:pPr>
      <w:r>
        <w:rPr>
          <w:b w:val="0"/>
          <w:i w:val="0"/>
        </w:rPr>
        <w:t>La creazione di un account, indipendentemente dalla sua tipologia, comporta il trattamento dei seguenti dati:</w:t>
      </w:r>
    </w:p>
    <w:p>
      <w:pPr>
        <w:pStyle w:val="ListBullet"/>
        <w:spacing w:after="120"/>
        <w:ind w:left="510"/>
      </w:pPr>
      <w:r>
        <w:rPr>
          <w:b/>
          <w:i w:val="0"/>
        </w:rPr>
        <w:t>Dati identificativi</w:t>
      </w:r>
      <w:r>
        <w:rPr>
          <w:b w:val="0"/>
          <w:i w:val="0"/>
        </w:rPr>
        <w:t>: nome, cognome, data di nascita, e, ove il servizio lo richieda, codice fiscale.</w:t>
      </w:r>
    </w:p>
    <w:p>
      <w:pPr>
        <w:pStyle w:val="ListBullet"/>
        <w:spacing w:after="120"/>
        <w:ind w:left="510"/>
      </w:pPr>
      <w:r>
        <w:rPr>
          <w:b/>
          <w:i w:val="0"/>
        </w:rPr>
        <w:t>Dati di contatto</w:t>
      </w:r>
      <w:r>
        <w:rPr>
          <w:b w:val="0"/>
          <w:i w:val="0"/>
        </w:rPr>
        <w:t>: indirizzo di posta elettronica, recapito telefonico, e, per le utenze soggette a fatturazione, indirizzo di residenza o di sede.</w:t>
      </w:r>
    </w:p>
    <w:p>
      <w:pPr>
        <w:pStyle w:val="ListBullet"/>
        <w:spacing w:after="120"/>
        <w:ind w:left="510"/>
      </w:pPr>
      <w:r>
        <w:rPr>
          <w:b/>
          <w:i w:val="0"/>
        </w:rPr>
        <w:t>Credenziali di accesso</w:t>
      </w:r>
      <w:r>
        <w:rPr>
          <w:b w:val="0"/>
          <w:i w:val="0"/>
        </w:rPr>
        <w:t>: nome utente e password, conservata in forma cifrata mediante funzione crittografica di hash unidirezionale con sale, secondo lo stato dell'arte.</w:t>
      </w:r>
    </w:p>
    <w:p>
      <w:pPr>
        <w:pStyle w:val="ListBullet"/>
        <w:spacing w:after="120"/>
        <w:ind w:left="510"/>
      </w:pPr>
      <w:r>
        <w:rPr>
          <w:b/>
          <w:i w:val="0"/>
        </w:rPr>
        <w:t>Dati di utilizzo</w:t>
      </w:r>
      <w:r>
        <w:rPr>
          <w:b w:val="0"/>
          <w:i w:val="0"/>
        </w:rPr>
        <w:t>: registri degli accessi, indirizzo IP di connessione, data e ora delle operazioni compiute, e identificativo della sessione.</w:t>
      </w:r>
    </w:p>
    <w:p>
      <w:pPr>
        <w:pStyle w:val="ListBullet"/>
        <w:spacing w:after="120"/>
        <w:ind w:left="510"/>
      </w:pPr>
      <w:r>
        <w:rPr>
          <w:b/>
          <w:i w:val="0"/>
        </w:rPr>
        <w:t>Dati di preferenza</w:t>
      </w:r>
      <w:r>
        <w:rPr>
          <w:b w:val="0"/>
          <w:i w:val="0"/>
        </w:rPr>
        <w:t>: impostazioni di visualizzazione, lingua, e configurazione delle notifiche.</w:t>
      </w:r>
    </w:p>
    <w:p>
      <w:pPr>
        <w:jc w:val="both"/>
      </w:pPr>
      <w:r>
        <w:rPr>
          <w:b w:val="0"/>
          <w:i w:val="0"/>
        </w:rPr>
        <w:t>La base giuridica del trattamento dei dati sopra elencati è costituita dall'esecuzione del contratto di cui l'interessato è parte, ai sensi dell'articolo 6, paragrafo 1, lettera b), del Regolamento, con l'eccezione dei registri degli accessi, il cui trattamento risponde al legittimo interesse del Titolare alla sicurezza del sistema e all'accertamento di eventuali abusi.</w:t>
      </w:r>
    </w:p>
    <w:p>
      <w:pPr>
        <w:keepNext/>
        <w:spacing w:before="220" w:after="80"/>
      </w:pPr>
      <w:r>
        <w:rPr>
          <w:b/>
          <w:sz w:val="23"/>
        </w:rPr>
        <w:t>7.2 Account Società Sportiva</w:t>
      </w:r>
    </w:p>
    <w:p>
      <w:pPr>
        <w:jc w:val="both"/>
      </w:pPr>
      <w:r>
        <w:rPr>
          <w:b w:val="0"/>
          <w:i w:val="0"/>
        </w:rPr>
        <w:t>L'account riservato alle società e alle associazioni sportive dilettantistiche comporta il trattamento dei dati identificativi e fiscali dell'ente, dei dati del legale rappresentante e dei soggetti da questi autorizzati all'accesso, nonché dei dati necessari alla gestione dell'abbonamento.</w:t>
      </w:r>
    </w:p>
    <w:p>
      <w:pPr>
        <w:jc w:val="both"/>
      </w:pPr>
      <w:r>
        <w:rPr>
          <w:b w:val="0"/>
          <w:i w:val="0"/>
        </w:rPr>
        <w:t>L'utilizzo dei moduli funzionali determina inoltre il trattamento delle seguenti informazioni, rispetto alle quali AMT opera quale responsabile secondo quanto precisato alla Sezione 5.2:</w:t>
      </w:r>
    </w:p>
    <w:p>
      <w:pPr>
        <w:pStyle w:val="ListBullet"/>
        <w:spacing w:after="120"/>
        <w:ind w:left="510"/>
      </w:pPr>
      <w:r>
        <w:rPr>
          <w:b/>
          <w:i w:val="0"/>
        </w:rPr>
        <w:t>Anagrafiche dei tesserati</w:t>
      </w:r>
      <w:r>
        <w:rPr>
          <w:b w:val="0"/>
          <w:i w:val="0"/>
        </w:rPr>
        <w:t>: dati identificativi e di contatto degli arcieri e dei tecnici collegati all'ente, unitamente all'indicazione del rapporto associativo in essere.</w:t>
      </w:r>
    </w:p>
    <w:p>
      <w:pPr>
        <w:pStyle w:val="ListBullet"/>
        <w:spacing w:after="120"/>
        <w:ind w:left="510"/>
      </w:pPr>
      <w:r>
        <w:rPr>
          <w:b/>
          <w:i w:val="0"/>
        </w:rPr>
        <w:t>Dati sportivi</w:t>
      </w:r>
      <w:r>
        <w:rPr>
          <w:b w:val="0"/>
          <w:i w:val="0"/>
        </w:rPr>
        <w:t>: risultati conseguiti nelle competizioni, titoli acquisiti, punteggi rilevati negli allenamenti, e statistiche elaborate dal sistema sulla base delle informazioni caricate.</w:t>
      </w:r>
    </w:p>
    <w:p>
      <w:pPr>
        <w:pStyle w:val="ListBullet"/>
        <w:spacing w:after="120"/>
        <w:ind w:left="510"/>
      </w:pPr>
      <w:r>
        <w:rPr>
          <w:b/>
          <w:i w:val="0"/>
        </w:rPr>
        <w:t>Scadenze delle certificazioni mediche</w:t>
      </w:r>
      <w:r>
        <w:rPr>
          <w:b w:val="0"/>
          <w:i w:val="0"/>
        </w:rPr>
        <w:t>: la sola data di scadenza della certificazione di idoneità all'attività sportiva, secondo la disciplina di dettaglio esposta alla Sezione 9.</w:t>
      </w:r>
    </w:p>
    <w:p>
      <w:pPr>
        <w:pStyle w:val="ListBullet"/>
        <w:spacing w:after="120"/>
        <w:ind w:left="510"/>
      </w:pPr>
      <w:r>
        <w:rPr>
          <w:b/>
          <w:i w:val="0"/>
        </w:rPr>
        <w:t>Dati contabili e amministrativi</w:t>
      </w:r>
      <w:r>
        <w:rPr>
          <w:b w:val="0"/>
          <w:i w:val="0"/>
        </w:rPr>
        <w:t>: registrazioni contabili, movimenti, richieste di pagamento rivolte ad arcieri e tecnici, ricevute emesse, e documenti destinati alla trasmissione telematica.</w:t>
      </w:r>
    </w:p>
    <w:p>
      <w:pPr>
        <w:pStyle w:val="ListBullet"/>
        <w:spacing w:after="120"/>
        <w:ind w:left="510"/>
      </w:pPr>
      <w:r>
        <w:rPr>
          <w:b/>
          <w:i w:val="0"/>
        </w:rPr>
        <w:t>Comunicazioni</w:t>
      </w:r>
      <w:r>
        <w:rPr>
          <w:b w:val="0"/>
          <w:i w:val="0"/>
        </w:rPr>
        <w:t>: contenuto delle notifiche interne, dei messaggi di chat, e delle comunicazioni di posta elettronica inoltrate attraverso il Portale.</w:t>
      </w:r>
    </w:p>
    <w:p>
      <w:pPr>
        <w:pStyle w:val="ListBullet"/>
        <w:spacing w:after="120"/>
        <w:ind w:left="510"/>
      </w:pPr>
      <w:r>
        <w:rPr>
          <w:b/>
          <w:i w:val="0"/>
        </w:rPr>
        <w:t>Configurazioni di visibilità</w:t>
      </w:r>
      <w:r>
        <w:rPr>
          <w:b w:val="0"/>
          <w:i w:val="0"/>
        </w:rPr>
        <w:t>: i permessi mediante i quali l'ente determina quali strumenti e quali dati siano accessibili a ciascun arciere e a ciascun tecnico collegato.</w:t>
      </w:r>
    </w:p>
    <w:p>
      <w:pPr>
        <w:keepNext/>
        <w:spacing w:before="220" w:after="80"/>
      </w:pPr>
      <w:r>
        <w:rPr>
          <w:b/>
          <w:sz w:val="23"/>
        </w:rPr>
        <w:t>7.3 Account Arciere</w:t>
      </w:r>
    </w:p>
    <w:p>
      <w:pPr>
        <w:jc w:val="both"/>
      </w:pPr>
      <w:r>
        <w:rPr>
          <w:b w:val="0"/>
          <w:i w:val="0"/>
        </w:rPr>
        <w:t>L'arciere che apra un account personale, ovvero il cui profilo sia stato creato dalla Società di appartenenza, è interessato al trattamento dei dati indicati alla Sezione 7.1, oltre a quelli di seguito specificati:</w:t>
      </w:r>
    </w:p>
    <w:p>
      <w:pPr>
        <w:pStyle w:val="ListBullet"/>
        <w:spacing w:after="120"/>
        <w:ind w:left="510"/>
      </w:pPr>
      <w:r>
        <w:rPr>
          <w:b/>
          <w:i w:val="0"/>
        </w:rPr>
        <w:t>Collegamenti associativi</w:t>
      </w:r>
      <w:r>
        <w:rPr>
          <w:b w:val="0"/>
          <w:i w:val="0"/>
        </w:rPr>
        <w:t>: l'indicazione della Società e dei Tecnici ai quali l'arciere risulta collegato, con la data di attivazione e di eventuale cessazione del collegamento.</w:t>
      </w:r>
    </w:p>
    <w:p>
      <w:pPr>
        <w:pStyle w:val="ListBullet"/>
        <w:spacing w:after="120"/>
        <w:ind w:left="510"/>
      </w:pPr>
      <w:r>
        <w:rPr>
          <w:b/>
          <w:i w:val="0"/>
        </w:rPr>
        <w:t>Dati di prestazione sportiva</w:t>
      </w:r>
      <w:r>
        <w:rPr>
          <w:b w:val="0"/>
          <w:i w:val="0"/>
        </w:rPr>
        <w:t>: punteggi registrati, esiti delle competizioni disputate, e progressione dei risultati nel tempo.</w:t>
      </w:r>
    </w:p>
    <w:p>
      <w:pPr>
        <w:pStyle w:val="ListBullet"/>
        <w:spacing w:after="120"/>
        <w:ind w:left="510"/>
      </w:pPr>
      <w:r>
        <w:rPr>
          <w:b/>
          <w:i w:val="0"/>
        </w:rPr>
        <w:t>Dati tecnici sull'attrezzatura</w:t>
      </w:r>
      <w:r>
        <w:rPr>
          <w:b w:val="0"/>
          <w:i w:val="0"/>
        </w:rPr>
        <w:t>: tipologia, marca, modello, e configurazione dell'arco, delle frecce, e degli accessori utilizzati.</w:t>
      </w:r>
    </w:p>
    <w:p>
      <w:pPr>
        <w:pStyle w:val="ListBullet"/>
        <w:spacing w:after="120"/>
        <w:ind w:left="510"/>
      </w:pPr>
      <w:r>
        <w:rPr>
          <w:b/>
          <w:i w:val="0"/>
        </w:rPr>
        <w:t>Lista dei desideri</w:t>
      </w:r>
      <w:r>
        <w:rPr>
          <w:b w:val="0"/>
          <w:i w:val="0"/>
        </w:rPr>
        <w:t>: l'elenco dell'attrezzatura che l'arciere manifesta l'intenzione di acquistare in futuro.</w:t>
      </w:r>
    </w:p>
    <w:p>
      <w:pPr>
        <w:pStyle w:val="ListBullet"/>
        <w:spacing w:after="120"/>
        <w:ind w:left="510"/>
      </w:pPr>
      <w:r>
        <w:rPr>
          <w:b/>
          <w:i w:val="0"/>
        </w:rPr>
        <w:t>Contenuti caricati</w:t>
      </w:r>
      <w:r>
        <w:rPr>
          <w:b w:val="0"/>
          <w:i w:val="0"/>
        </w:rPr>
        <w:t>: filmati del gesto tecnico, annotazioni di allenamento, e ogni altro materiale trasmesso volontariamente attraverso le funzioni del Portale.</w:t>
      </w:r>
    </w:p>
    <w:p>
      <w:pPr>
        <w:pStyle w:val="ListBullet"/>
        <w:spacing w:after="120"/>
        <w:ind w:left="510"/>
      </w:pPr>
      <w:r>
        <w:rPr>
          <w:b/>
          <w:i w:val="0"/>
        </w:rPr>
        <w:t>Richieste di iscrizione alle competizioni</w:t>
      </w:r>
      <w:r>
        <w:rPr>
          <w:b w:val="0"/>
          <w:i w:val="0"/>
        </w:rPr>
        <w:t>: le istanze inoltrate alla Società al fine di ottenere l'iscrizione a una determinata gara, unitamente al relativo esito.</w:t>
      </w:r>
    </w:p>
    <w:p>
      <w:pPr>
        <w:pStyle w:val="ListBullet"/>
        <w:spacing w:after="120"/>
        <w:ind w:left="510"/>
      </w:pPr>
      <w:r>
        <w:rPr>
          <w:b/>
          <w:i w:val="0"/>
        </w:rPr>
        <w:t>Dati relativi ai videocorsi</w:t>
      </w:r>
      <w:r>
        <w:rPr>
          <w:b w:val="0"/>
          <w:i w:val="0"/>
        </w:rPr>
        <w:t>: acquisti effettuati, stato di avanzamento della fruizione, e cronologia delle sessioni.</w:t>
      </w:r>
    </w:p>
    <w:p>
      <w:pPr>
        <w:jc w:val="both"/>
      </w:pPr>
      <w:r>
        <w:rPr>
          <w:b w:val="0"/>
          <w:i w:val="0"/>
        </w:rPr>
        <w:t>I dati relativi all'attrezzatura e alla lista dei desideri sono resi accessibili agli operatori commerciali titolari di account attivo esclusivamente in forma aggregata o comunque priva degli elementi identificativi dell'arciere, secondo quanto precisato alla Sezione 12.</w:t>
      </w:r>
    </w:p>
    <w:p>
      <w:pPr>
        <w:keepNext/>
        <w:spacing w:before="220" w:after="80"/>
      </w:pPr>
      <w:r>
        <w:rPr>
          <w:b/>
          <w:sz w:val="23"/>
        </w:rPr>
        <w:t>7.4 Account Tecnico</w:t>
      </w:r>
    </w:p>
    <w:p>
      <w:pPr>
        <w:jc w:val="both"/>
      </w:pPr>
      <w:r>
        <w:rPr>
          <w:b w:val="0"/>
          <w:i w:val="0"/>
        </w:rPr>
        <w:t>Il Tecnico può cumulare la propria posizione con quella di arciere. In tal caso i trattamenti descritti alla Sezione 7.3 si aggiungono a quelli qui indicati.</w:t>
      </w:r>
    </w:p>
    <w:p>
      <w:pPr>
        <w:jc w:val="both"/>
      </w:pPr>
      <w:r>
        <w:rPr>
          <w:b w:val="0"/>
          <w:i w:val="0"/>
        </w:rPr>
        <w:t>Sono oggetto di trattamento i dati identificativi e di contatto del Tecnico, le qualifiche e i titoli dichiarati ai fini dell'inserimento nell'elenco nazionale, l'ambito territoriale di operatività, i collegamenti con gli arcieri seguiti, i piani di allenamento predisposti, e i dati relativi ai videocorsi posti in vendita. Il trattamento dei dati di fatturazione connessi all'abbonamento e alle quote riconosciute sulle vendite completa il quadro.</w:t>
      </w:r>
    </w:p>
    <w:p>
      <w:pPr>
        <w:jc w:val="both"/>
      </w:pPr>
      <w:r>
        <w:rPr>
          <w:b w:val="0"/>
          <w:i w:val="0"/>
        </w:rPr>
        <w:t>L'inserimento del Tecnico nell'elenco consultabile dagli utenti del Portale comporta la diffusione dei soli dati che il medesimo abbia espressamente destinato a tale finalità, quali il nome, l'ambito territoriale, le qualifiche, e un recapito di contatto professionale. La base giuridica è costituita dal consenso, revocabile in ogni momento mediante le impostazioni del profilo, senza pregiudizio della liceità del trattamento effettuato prima della revoca.</w:t>
      </w:r>
    </w:p>
    <w:p>
      <w:pPr>
        <w:keepNext/>
        <w:spacing w:before="220" w:after="80"/>
      </w:pPr>
      <w:r>
        <w:rPr>
          <w:b/>
          <w:sz w:val="23"/>
        </w:rPr>
        <w:t>7.5 Account Operatore Commerciale</w:t>
      </w:r>
    </w:p>
    <w:p>
      <w:pPr>
        <w:jc w:val="both"/>
      </w:pPr>
      <w:r>
        <w:rPr>
          <w:b w:val="0"/>
          <w:i w:val="0"/>
        </w:rPr>
        <w:t>L'esercente titolare di account a pagamento è interessato al trattamento dei propri dati identificativi, fiscali, e di contatto, nonché dei dati relativi all'abbonamento sottoscritto e alle inserzioni pubblicate.</w:t>
      </w:r>
    </w:p>
    <w:p>
      <w:pPr>
        <w:jc w:val="both"/>
      </w:pPr>
      <w:r>
        <w:rPr>
          <w:b w:val="0"/>
          <w:i w:val="0"/>
        </w:rPr>
        <w:t>L'operatore commerciale non accede in alcun caso ai dati identificativi degli arcieri. Le informazioni che il Portale mette a sua disposizione riguardano esclusivamente l'attrezzatura utilizzata e le liste dei desideri, in forma aggregata ovvero associata a identificativi che non consentono la riconduzione a una persona fisica determinata senza il ricorso a informazioni ulteriori detenute da AMT. Il regime applicabile alle inserzioni destinate a specifici insiemi di utenti è descritto alla Sezione 12.</w:t>
      </w:r>
    </w:p>
    <w:p>
      <w:pPr>
        <w:keepNext/>
        <w:spacing w:before="320" w:after="120"/>
      </w:pPr>
      <w:r>
        <w:rPr>
          <w:b/>
          <w:sz w:val="26"/>
        </w:rPr>
        <w:t>8. Finalità del trattamento e basi giuridiche</w:t>
      </w:r>
    </w:p>
    <w:p>
      <w:pPr>
        <w:jc w:val="both"/>
      </w:pPr>
      <w:r>
        <w:rPr>
          <w:b w:val="0"/>
          <w:i w:val="0"/>
        </w:rPr>
        <w:t>Il prospetto che segue riepiloga le finalità perseguite, le corrispondenti basi giuridiche, e i periodi di conservazione. Il dettaglio dei criteri di conservazione è contenuto nella policy dedicata, richiamata alla Sezione 19.</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fill="E8E8E8"/>
          </w:tcPr>
          <w:p>
            <w:pPr>
              <w:spacing w:after="60"/>
            </w:pPr>
            <w:r>
              <w:rPr>
                <w:sz w:val="18"/>
              </w:rPr>
            </w:r>
            <w:r>
              <w:rPr>
                <w:b/>
                <w:i w:val="0"/>
                <w:sz w:val="18"/>
              </w:rPr>
              <w:t>Finalità</w:t>
            </w:r>
          </w:p>
        </w:tc>
        <w:tc>
          <w:tcPr>
            <w:tcW w:type="dxa" w:w="3173"/>
            <w:shd w:val="clear" w:fill="E8E8E8"/>
          </w:tcPr>
          <w:p>
            <w:pPr>
              <w:spacing w:after="60"/>
            </w:pPr>
            <w:r>
              <w:rPr>
                <w:sz w:val="18"/>
              </w:rPr>
            </w:r>
            <w:r>
              <w:rPr>
                <w:b/>
                <w:i w:val="0"/>
                <w:sz w:val="18"/>
              </w:rPr>
              <w:t>Base giuridica</w:t>
            </w:r>
          </w:p>
        </w:tc>
        <w:tc>
          <w:tcPr>
            <w:tcW w:type="dxa" w:w="3173"/>
            <w:shd w:val="clear" w:fill="E8E8E8"/>
          </w:tcPr>
          <w:p>
            <w:pPr>
              <w:spacing w:after="60"/>
            </w:pPr>
            <w:r>
              <w:rPr>
                <w:sz w:val="18"/>
              </w:rPr>
            </w:r>
            <w:r>
              <w:rPr>
                <w:b/>
                <w:i w:val="0"/>
                <w:sz w:val="18"/>
              </w:rPr>
              <w:t>Conservazione</w:t>
            </w:r>
          </w:p>
        </w:tc>
      </w:tr>
      <w:tr>
        <w:tc>
          <w:tcPr>
            <w:tcW w:type="dxa" w:w="3173"/>
          </w:tcPr>
          <w:p>
            <w:pPr>
              <w:spacing w:after="60"/>
            </w:pPr>
            <w:r>
              <w:rPr>
                <w:sz w:val="18"/>
              </w:rPr>
            </w:r>
            <w:r>
              <w:rPr>
                <w:b w:val="0"/>
                <w:i w:val="0"/>
                <w:sz w:val="18"/>
              </w:rPr>
              <w:t>Registrazione dell'account e autenticazione</w:t>
            </w:r>
          </w:p>
        </w:tc>
        <w:tc>
          <w:tcPr>
            <w:tcW w:type="dxa" w:w="3173"/>
          </w:tcPr>
          <w:p>
            <w:pPr>
              <w:spacing w:after="60"/>
            </w:pPr>
            <w:r>
              <w:rPr>
                <w:sz w:val="18"/>
              </w:rPr>
            </w:r>
            <w:r>
              <w:rPr>
                <w:b w:val="0"/>
                <w:i w:val="0"/>
                <w:sz w:val="18"/>
              </w:rPr>
              <w:t>Art. 6.1.b GDPR, esecuzione del contratto</w:t>
            </w:r>
          </w:p>
        </w:tc>
        <w:tc>
          <w:tcPr>
            <w:tcW w:type="dxa" w:w="3173"/>
          </w:tcPr>
          <w:p>
            <w:pPr>
              <w:spacing w:after="60"/>
            </w:pPr>
            <w:r>
              <w:rPr>
                <w:sz w:val="18"/>
              </w:rPr>
            </w:r>
            <w:r>
              <w:rPr>
                <w:b w:val="0"/>
                <w:i w:val="0"/>
                <w:sz w:val="18"/>
              </w:rPr>
              <w:t>Durata del rapporto e 12 mesi successivi</w:t>
            </w:r>
          </w:p>
        </w:tc>
      </w:tr>
      <w:tr>
        <w:tc>
          <w:tcPr>
            <w:tcW w:type="dxa" w:w="3173"/>
          </w:tcPr>
          <w:p>
            <w:pPr>
              <w:spacing w:after="60"/>
            </w:pPr>
            <w:r>
              <w:rPr>
                <w:sz w:val="18"/>
              </w:rPr>
            </w:r>
            <w:r>
              <w:rPr>
                <w:b w:val="0"/>
                <w:i w:val="0"/>
                <w:sz w:val="18"/>
              </w:rPr>
              <w:t>Erogazione delle funzionalità del Portale</w:t>
            </w:r>
          </w:p>
        </w:tc>
        <w:tc>
          <w:tcPr>
            <w:tcW w:type="dxa" w:w="3173"/>
          </w:tcPr>
          <w:p>
            <w:pPr>
              <w:spacing w:after="60"/>
            </w:pPr>
            <w:r>
              <w:rPr>
                <w:sz w:val="18"/>
              </w:rPr>
            </w:r>
            <w:r>
              <w:rPr>
                <w:b w:val="0"/>
                <w:i w:val="0"/>
                <w:sz w:val="18"/>
              </w:rPr>
              <w:t>Art. 6.1.b GDPR, esecuzione del contratto</w:t>
            </w:r>
          </w:p>
        </w:tc>
        <w:tc>
          <w:tcPr>
            <w:tcW w:type="dxa" w:w="3173"/>
          </w:tcPr>
          <w:p>
            <w:pPr>
              <w:spacing w:after="60"/>
            </w:pPr>
            <w:r>
              <w:rPr>
                <w:sz w:val="18"/>
              </w:rPr>
            </w:r>
            <w:r>
              <w:rPr>
                <w:b w:val="0"/>
                <w:i w:val="0"/>
                <w:sz w:val="18"/>
              </w:rPr>
              <w:t>Durata del rapporto</w:t>
            </w:r>
          </w:p>
        </w:tc>
      </w:tr>
      <w:tr>
        <w:tc>
          <w:tcPr>
            <w:tcW w:type="dxa" w:w="3173"/>
          </w:tcPr>
          <w:p>
            <w:pPr>
              <w:spacing w:after="60"/>
            </w:pPr>
            <w:r>
              <w:rPr>
                <w:sz w:val="18"/>
              </w:rPr>
            </w:r>
            <w:r>
              <w:rPr>
                <w:b w:val="0"/>
                <w:i w:val="0"/>
                <w:sz w:val="18"/>
              </w:rPr>
              <w:t>Consultazione dei dati pubblici di fonte federale</w:t>
            </w:r>
          </w:p>
        </w:tc>
        <w:tc>
          <w:tcPr>
            <w:tcW w:type="dxa" w:w="3173"/>
          </w:tcPr>
          <w:p>
            <w:pPr>
              <w:spacing w:after="60"/>
            </w:pPr>
            <w:r>
              <w:rPr>
                <w:sz w:val="18"/>
              </w:rPr>
            </w:r>
            <w:r>
              <w:rPr>
                <w:b w:val="0"/>
                <w:i w:val="0"/>
                <w:sz w:val="18"/>
              </w:rPr>
              <w:t>Art. 6.1.f GDPR, legittimo interesse</w:t>
            </w:r>
          </w:p>
        </w:tc>
        <w:tc>
          <w:tcPr>
            <w:tcW w:type="dxa" w:w="3173"/>
          </w:tcPr>
          <w:p>
            <w:pPr>
              <w:spacing w:after="60"/>
            </w:pPr>
            <w:r>
              <w:rPr>
                <w:sz w:val="18"/>
              </w:rPr>
            </w:r>
            <w:r>
              <w:rPr>
                <w:b w:val="0"/>
                <w:i w:val="0"/>
                <w:sz w:val="18"/>
              </w:rPr>
              <w:t>5 anni dalla pubblicazione alla fonte</w:t>
            </w:r>
          </w:p>
        </w:tc>
      </w:tr>
      <w:tr>
        <w:tc>
          <w:tcPr>
            <w:tcW w:type="dxa" w:w="3173"/>
          </w:tcPr>
          <w:p>
            <w:pPr>
              <w:spacing w:after="60"/>
            </w:pPr>
            <w:r>
              <w:rPr>
                <w:sz w:val="18"/>
              </w:rPr>
            </w:r>
            <w:r>
              <w:rPr>
                <w:b w:val="0"/>
                <w:i w:val="0"/>
                <w:sz w:val="18"/>
              </w:rPr>
              <w:t>Verifica dell'età e consenso genitoriale per i minori</w:t>
            </w:r>
          </w:p>
        </w:tc>
        <w:tc>
          <w:tcPr>
            <w:tcW w:type="dxa" w:w="3173"/>
          </w:tcPr>
          <w:p>
            <w:pPr>
              <w:spacing w:after="60"/>
            </w:pPr>
            <w:r>
              <w:rPr>
                <w:sz w:val="18"/>
              </w:rPr>
            </w:r>
            <w:r>
              <w:rPr>
                <w:b w:val="0"/>
                <w:i w:val="0"/>
                <w:sz w:val="18"/>
              </w:rPr>
              <w:t>Art. 8 GDPR e art. 2-quinquies Codice Privacy</w:t>
            </w:r>
          </w:p>
        </w:tc>
        <w:tc>
          <w:tcPr>
            <w:tcW w:type="dxa" w:w="3173"/>
          </w:tcPr>
          <w:p>
            <w:pPr>
              <w:spacing w:after="60"/>
            </w:pPr>
            <w:r>
              <w:rPr>
                <w:sz w:val="18"/>
              </w:rPr>
            </w:r>
            <w:r>
              <w:rPr>
                <w:b w:val="0"/>
                <w:i w:val="0"/>
                <w:sz w:val="18"/>
              </w:rPr>
              <w:t>Durata del rapporto. Prova del consenso 10 anni</w:t>
            </w:r>
          </w:p>
        </w:tc>
      </w:tr>
      <w:tr>
        <w:tc>
          <w:tcPr>
            <w:tcW w:type="dxa" w:w="3173"/>
          </w:tcPr>
          <w:p>
            <w:pPr>
              <w:spacing w:after="60"/>
            </w:pPr>
            <w:r>
              <w:rPr>
                <w:sz w:val="18"/>
              </w:rPr>
            </w:r>
            <w:r>
              <w:rPr>
                <w:b w:val="0"/>
                <w:i w:val="0"/>
                <w:sz w:val="18"/>
              </w:rPr>
              <w:t>Gestione degli abbonamenti e fatturazione</w:t>
            </w:r>
          </w:p>
        </w:tc>
        <w:tc>
          <w:tcPr>
            <w:tcW w:type="dxa" w:w="3173"/>
          </w:tcPr>
          <w:p>
            <w:pPr>
              <w:spacing w:after="60"/>
            </w:pPr>
            <w:r>
              <w:rPr>
                <w:sz w:val="18"/>
              </w:rPr>
            </w:r>
            <w:r>
              <w:rPr>
                <w:b w:val="0"/>
                <w:i w:val="0"/>
                <w:sz w:val="18"/>
              </w:rPr>
              <w:t>Art. 6.1.c GDPR, obbligo di legge fiscale</w:t>
            </w:r>
          </w:p>
        </w:tc>
        <w:tc>
          <w:tcPr>
            <w:tcW w:type="dxa" w:w="3173"/>
          </w:tcPr>
          <w:p>
            <w:pPr>
              <w:spacing w:after="60"/>
            </w:pPr>
            <w:r>
              <w:rPr>
                <w:sz w:val="18"/>
              </w:rPr>
            </w:r>
            <w:r>
              <w:rPr>
                <w:b w:val="0"/>
                <w:i w:val="0"/>
                <w:sz w:val="18"/>
              </w:rPr>
              <w:t>10 anni dalla registrazione, art. 2220 c.c.</w:t>
            </w:r>
          </w:p>
        </w:tc>
      </w:tr>
      <w:tr>
        <w:tc>
          <w:tcPr>
            <w:tcW w:type="dxa" w:w="3173"/>
          </w:tcPr>
          <w:p>
            <w:pPr>
              <w:spacing w:after="60"/>
            </w:pPr>
            <w:r>
              <w:rPr>
                <w:sz w:val="18"/>
              </w:rPr>
            </w:r>
            <w:r>
              <w:rPr>
                <w:b w:val="0"/>
                <w:i w:val="0"/>
                <w:sz w:val="18"/>
              </w:rPr>
              <w:t>Vendita e fruizione dei videocorsi</w:t>
            </w:r>
          </w:p>
        </w:tc>
        <w:tc>
          <w:tcPr>
            <w:tcW w:type="dxa" w:w="3173"/>
          </w:tcPr>
          <w:p>
            <w:pPr>
              <w:spacing w:after="60"/>
            </w:pPr>
            <w:r>
              <w:rPr>
                <w:sz w:val="18"/>
              </w:rPr>
            </w:r>
            <w:r>
              <w:rPr>
                <w:b w:val="0"/>
                <w:i w:val="0"/>
                <w:sz w:val="18"/>
              </w:rPr>
              <w:t>Art. 6.1.b GDPR, esecuzione del contratto</w:t>
            </w:r>
          </w:p>
        </w:tc>
        <w:tc>
          <w:tcPr>
            <w:tcW w:type="dxa" w:w="3173"/>
          </w:tcPr>
          <w:p>
            <w:pPr>
              <w:spacing w:after="60"/>
            </w:pPr>
            <w:r>
              <w:rPr>
                <w:sz w:val="18"/>
              </w:rPr>
            </w:r>
            <w:r>
              <w:rPr>
                <w:b w:val="0"/>
                <w:i w:val="0"/>
                <w:sz w:val="18"/>
              </w:rPr>
              <w:t>Durata del rapporto e termini di prescrizione</w:t>
            </w:r>
          </w:p>
        </w:tc>
      </w:tr>
      <w:tr>
        <w:tc>
          <w:tcPr>
            <w:tcW w:type="dxa" w:w="3173"/>
          </w:tcPr>
          <w:p>
            <w:pPr>
              <w:spacing w:after="60"/>
            </w:pPr>
            <w:r>
              <w:rPr>
                <w:sz w:val="18"/>
              </w:rPr>
            </w:r>
            <w:r>
              <w:rPr>
                <w:b w:val="0"/>
                <w:i w:val="0"/>
                <w:sz w:val="18"/>
              </w:rPr>
              <w:t>Assistenza tecnica e gestione dei ticket</w:t>
            </w:r>
          </w:p>
        </w:tc>
        <w:tc>
          <w:tcPr>
            <w:tcW w:type="dxa" w:w="3173"/>
          </w:tcPr>
          <w:p>
            <w:pPr>
              <w:spacing w:after="60"/>
            </w:pPr>
            <w:r>
              <w:rPr>
                <w:sz w:val="18"/>
              </w:rPr>
            </w:r>
            <w:r>
              <w:rPr>
                <w:b w:val="0"/>
                <w:i w:val="0"/>
                <w:sz w:val="18"/>
              </w:rPr>
              <w:t>Art. 6.1.b GDPR, esecuzione del contratto</w:t>
            </w:r>
          </w:p>
        </w:tc>
        <w:tc>
          <w:tcPr>
            <w:tcW w:type="dxa" w:w="3173"/>
          </w:tcPr>
          <w:p>
            <w:pPr>
              <w:spacing w:after="60"/>
            </w:pPr>
            <w:r>
              <w:rPr>
                <w:sz w:val="18"/>
              </w:rPr>
            </w:r>
            <w:r>
              <w:rPr>
                <w:b w:val="0"/>
                <w:i w:val="0"/>
                <w:sz w:val="18"/>
              </w:rPr>
              <w:t>24 mesi dalla chiusura del ticket</w:t>
            </w:r>
          </w:p>
        </w:tc>
      </w:tr>
      <w:tr>
        <w:tc>
          <w:tcPr>
            <w:tcW w:type="dxa" w:w="3173"/>
          </w:tcPr>
          <w:p>
            <w:pPr>
              <w:spacing w:after="60"/>
            </w:pPr>
            <w:r>
              <w:rPr>
                <w:sz w:val="18"/>
              </w:rPr>
            </w:r>
            <w:r>
              <w:rPr>
                <w:b w:val="0"/>
                <w:i w:val="0"/>
                <w:sz w:val="18"/>
              </w:rPr>
              <w:t>Sicurezza dei sistemi e registri di accesso</w:t>
            </w:r>
          </w:p>
        </w:tc>
        <w:tc>
          <w:tcPr>
            <w:tcW w:type="dxa" w:w="3173"/>
          </w:tcPr>
          <w:p>
            <w:pPr>
              <w:spacing w:after="60"/>
            </w:pPr>
            <w:r>
              <w:rPr>
                <w:sz w:val="18"/>
              </w:rPr>
            </w:r>
            <w:r>
              <w:rPr>
                <w:b w:val="0"/>
                <w:i w:val="0"/>
                <w:sz w:val="18"/>
              </w:rPr>
              <w:t>Art. 6.1.f GDPR, legittimo interesse</w:t>
            </w:r>
          </w:p>
        </w:tc>
        <w:tc>
          <w:tcPr>
            <w:tcW w:type="dxa" w:w="3173"/>
          </w:tcPr>
          <w:p>
            <w:pPr>
              <w:spacing w:after="60"/>
            </w:pPr>
            <w:r>
              <w:rPr>
                <w:sz w:val="18"/>
              </w:rPr>
            </w:r>
            <w:r>
              <w:rPr>
                <w:b w:val="0"/>
                <w:i w:val="0"/>
                <w:sz w:val="18"/>
              </w:rPr>
              <w:t>12 mesi dalla registrazione dell'evento</w:t>
            </w:r>
          </w:p>
        </w:tc>
      </w:tr>
      <w:tr>
        <w:tc>
          <w:tcPr>
            <w:tcW w:type="dxa" w:w="3173"/>
          </w:tcPr>
          <w:p>
            <w:pPr>
              <w:spacing w:after="60"/>
            </w:pPr>
            <w:r>
              <w:rPr>
                <w:sz w:val="18"/>
              </w:rPr>
            </w:r>
            <w:r>
              <w:rPr>
                <w:b w:val="0"/>
                <w:i w:val="0"/>
                <w:sz w:val="18"/>
              </w:rPr>
              <w:t>Invio di comunicazioni di servizio</w:t>
            </w:r>
          </w:p>
        </w:tc>
        <w:tc>
          <w:tcPr>
            <w:tcW w:type="dxa" w:w="3173"/>
          </w:tcPr>
          <w:p>
            <w:pPr>
              <w:spacing w:after="60"/>
            </w:pPr>
            <w:r>
              <w:rPr>
                <w:sz w:val="18"/>
              </w:rPr>
            </w:r>
            <w:r>
              <w:rPr>
                <w:b w:val="0"/>
                <w:i w:val="0"/>
                <w:sz w:val="18"/>
              </w:rPr>
              <w:t>Art. 6.1.b GDPR, esecuzione del contratto</w:t>
            </w:r>
          </w:p>
        </w:tc>
        <w:tc>
          <w:tcPr>
            <w:tcW w:type="dxa" w:w="3173"/>
          </w:tcPr>
          <w:p>
            <w:pPr>
              <w:spacing w:after="60"/>
            </w:pPr>
            <w:r>
              <w:rPr>
                <w:sz w:val="18"/>
              </w:rPr>
            </w:r>
            <w:r>
              <w:rPr>
                <w:b w:val="0"/>
                <w:i w:val="0"/>
                <w:sz w:val="18"/>
              </w:rPr>
              <w:t>Durata del rapporto</w:t>
            </w:r>
          </w:p>
        </w:tc>
      </w:tr>
      <w:tr>
        <w:tc>
          <w:tcPr>
            <w:tcW w:type="dxa" w:w="3173"/>
          </w:tcPr>
          <w:p>
            <w:pPr>
              <w:spacing w:after="60"/>
            </w:pPr>
            <w:r>
              <w:rPr>
                <w:sz w:val="18"/>
              </w:rPr>
            </w:r>
            <w:r>
              <w:rPr>
                <w:b w:val="0"/>
                <w:i w:val="0"/>
                <w:sz w:val="18"/>
              </w:rPr>
              <w:t>Invio di comunicazioni promozionali</w:t>
            </w:r>
          </w:p>
        </w:tc>
        <w:tc>
          <w:tcPr>
            <w:tcW w:type="dxa" w:w="3173"/>
          </w:tcPr>
          <w:p>
            <w:pPr>
              <w:spacing w:after="60"/>
            </w:pPr>
            <w:r>
              <w:rPr>
                <w:sz w:val="18"/>
              </w:rPr>
            </w:r>
            <w:r>
              <w:rPr>
                <w:b w:val="0"/>
                <w:i w:val="0"/>
                <w:sz w:val="18"/>
              </w:rPr>
              <w:t>Art. 6.1.a GDPR, consenso</w:t>
            </w:r>
          </w:p>
        </w:tc>
        <w:tc>
          <w:tcPr>
            <w:tcW w:type="dxa" w:w="3173"/>
          </w:tcPr>
          <w:p>
            <w:pPr>
              <w:spacing w:after="60"/>
            </w:pPr>
            <w:r>
              <w:rPr>
                <w:sz w:val="18"/>
              </w:rPr>
            </w:r>
            <w:r>
              <w:rPr>
                <w:b w:val="0"/>
                <w:i w:val="0"/>
                <w:sz w:val="18"/>
              </w:rPr>
              <w:t>Fino a revoca e comunque 24 mesi</w:t>
            </w:r>
          </w:p>
        </w:tc>
      </w:tr>
      <w:tr>
        <w:tc>
          <w:tcPr>
            <w:tcW w:type="dxa" w:w="3173"/>
          </w:tcPr>
          <w:p>
            <w:pPr>
              <w:spacing w:after="60"/>
            </w:pPr>
            <w:r>
              <w:rPr>
                <w:sz w:val="18"/>
              </w:rPr>
            </w:r>
            <w:r>
              <w:rPr>
                <w:b w:val="0"/>
                <w:i w:val="0"/>
                <w:sz w:val="18"/>
              </w:rPr>
              <w:t>Comunicazioni su servizi analoghi a clienti</w:t>
            </w:r>
          </w:p>
        </w:tc>
        <w:tc>
          <w:tcPr>
            <w:tcW w:type="dxa" w:w="3173"/>
          </w:tcPr>
          <w:p>
            <w:pPr>
              <w:spacing w:after="60"/>
            </w:pPr>
            <w:r>
              <w:rPr>
                <w:sz w:val="18"/>
              </w:rPr>
            </w:r>
            <w:r>
              <w:rPr>
                <w:b w:val="0"/>
                <w:i w:val="0"/>
                <w:sz w:val="18"/>
              </w:rPr>
              <w:t>Art. 130, comma 4, Codice Privacy</w:t>
            </w:r>
          </w:p>
        </w:tc>
        <w:tc>
          <w:tcPr>
            <w:tcW w:type="dxa" w:w="3173"/>
          </w:tcPr>
          <w:p>
            <w:pPr>
              <w:spacing w:after="60"/>
            </w:pPr>
            <w:r>
              <w:rPr>
                <w:sz w:val="18"/>
              </w:rPr>
            </w:r>
            <w:r>
              <w:rPr>
                <w:b w:val="0"/>
                <w:i w:val="0"/>
                <w:sz w:val="18"/>
              </w:rPr>
              <w:t>Fino a opposizione e comunque 24 mesi</w:t>
            </w:r>
          </w:p>
        </w:tc>
      </w:tr>
      <w:tr>
        <w:tc>
          <w:tcPr>
            <w:tcW w:type="dxa" w:w="3173"/>
          </w:tcPr>
          <w:p>
            <w:pPr>
              <w:spacing w:after="60"/>
            </w:pPr>
            <w:r>
              <w:rPr>
                <w:sz w:val="18"/>
              </w:rPr>
            </w:r>
            <w:r>
              <w:rPr>
                <w:b w:val="0"/>
                <w:i w:val="0"/>
                <w:sz w:val="18"/>
              </w:rPr>
              <w:t>Inserzioni pubblicitarie personalizzate</w:t>
            </w:r>
          </w:p>
        </w:tc>
        <w:tc>
          <w:tcPr>
            <w:tcW w:type="dxa" w:w="3173"/>
          </w:tcPr>
          <w:p>
            <w:pPr>
              <w:spacing w:after="60"/>
            </w:pPr>
            <w:r>
              <w:rPr>
                <w:sz w:val="18"/>
              </w:rPr>
            </w:r>
            <w:r>
              <w:rPr>
                <w:b w:val="0"/>
                <w:i w:val="0"/>
                <w:sz w:val="18"/>
              </w:rPr>
              <w:t>Art. 6.1.a GDPR, consenso</w:t>
            </w:r>
          </w:p>
        </w:tc>
        <w:tc>
          <w:tcPr>
            <w:tcW w:type="dxa" w:w="3173"/>
          </w:tcPr>
          <w:p>
            <w:pPr>
              <w:spacing w:after="60"/>
            </w:pPr>
            <w:r>
              <w:rPr>
                <w:sz w:val="18"/>
              </w:rPr>
            </w:r>
            <w:r>
              <w:rPr>
                <w:b w:val="0"/>
                <w:i w:val="0"/>
                <w:sz w:val="18"/>
              </w:rPr>
              <w:t>Fino a revoca</w:t>
            </w:r>
          </w:p>
        </w:tc>
      </w:tr>
      <w:tr>
        <w:tc>
          <w:tcPr>
            <w:tcW w:type="dxa" w:w="3173"/>
          </w:tcPr>
          <w:p>
            <w:pPr>
              <w:spacing w:after="60"/>
            </w:pPr>
            <w:r>
              <w:rPr>
                <w:sz w:val="18"/>
              </w:rPr>
            </w:r>
            <w:r>
              <w:rPr>
                <w:b w:val="0"/>
                <w:i w:val="0"/>
                <w:sz w:val="18"/>
              </w:rPr>
              <w:t>Difesa in giudizio e accertamento di responsabilità</w:t>
            </w:r>
          </w:p>
        </w:tc>
        <w:tc>
          <w:tcPr>
            <w:tcW w:type="dxa" w:w="3173"/>
          </w:tcPr>
          <w:p>
            <w:pPr>
              <w:spacing w:after="60"/>
            </w:pPr>
            <w:r>
              <w:rPr>
                <w:sz w:val="18"/>
              </w:rPr>
            </w:r>
            <w:r>
              <w:rPr>
                <w:b w:val="0"/>
                <w:i w:val="0"/>
                <w:sz w:val="18"/>
              </w:rPr>
              <w:t>Art. 6.1.f GDPR, legittimo interesse</w:t>
            </w:r>
          </w:p>
        </w:tc>
        <w:tc>
          <w:tcPr>
            <w:tcW w:type="dxa" w:w="3173"/>
          </w:tcPr>
          <w:p>
            <w:pPr>
              <w:spacing w:after="60"/>
            </w:pPr>
            <w:r>
              <w:rPr>
                <w:sz w:val="18"/>
              </w:rPr>
            </w:r>
            <w:r>
              <w:rPr>
                <w:b w:val="0"/>
                <w:i w:val="0"/>
                <w:sz w:val="18"/>
              </w:rPr>
              <w:t>Termini di prescrizione dell'azione</w:t>
            </w:r>
          </w:p>
        </w:tc>
      </w:tr>
      <w:tr>
        <w:tc>
          <w:tcPr>
            <w:tcW w:type="dxa" w:w="3173"/>
          </w:tcPr>
          <w:p>
            <w:pPr>
              <w:spacing w:after="60"/>
            </w:pPr>
            <w:r>
              <w:rPr>
                <w:sz w:val="18"/>
              </w:rPr>
            </w:r>
            <w:r>
              <w:rPr>
                <w:b w:val="0"/>
                <w:i w:val="0"/>
                <w:sz w:val="18"/>
              </w:rPr>
              <w:t>Adempimento di obblighi di legge</w:t>
            </w:r>
          </w:p>
        </w:tc>
        <w:tc>
          <w:tcPr>
            <w:tcW w:type="dxa" w:w="3173"/>
          </w:tcPr>
          <w:p>
            <w:pPr>
              <w:spacing w:after="60"/>
            </w:pPr>
            <w:r>
              <w:rPr>
                <w:sz w:val="18"/>
              </w:rPr>
            </w:r>
            <w:r>
              <w:rPr>
                <w:b w:val="0"/>
                <w:i w:val="0"/>
                <w:sz w:val="18"/>
              </w:rPr>
              <w:t>Art. 6.1.c GDPR, obbligo di legge</w:t>
            </w:r>
          </w:p>
        </w:tc>
        <w:tc>
          <w:tcPr>
            <w:tcW w:type="dxa" w:w="3173"/>
          </w:tcPr>
          <w:p>
            <w:pPr>
              <w:spacing w:after="60"/>
            </w:pPr>
            <w:r>
              <w:rPr>
                <w:sz w:val="18"/>
              </w:rPr>
            </w:r>
            <w:r>
              <w:rPr>
                <w:b w:val="0"/>
                <w:i w:val="0"/>
                <w:sz w:val="18"/>
              </w:rPr>
              <w:t>Secondo la disciplina applicabile</w:t>
            </w:r>
          </w:p>
        </w:tc>
      </w:tr>
    </w:tbl>
    <w:p/>
    <w:p>
      <w:pPr>
        <w:jc w:val="both"/>
      </w:pPr>
      <w:r>
        <w:rPr>
          <w:b w:val="0"/>
          <w:i w:val="0"/>
        </w:rPr>
        <w:t>Il legittimo interesse invocato quale base giuridica è stato oggetto di specifica valutazione di bilanciamento, condotta secondo i criteri enunciati dal Considerando 47 del Regolamento. L'esito della valutazione è disponibile su richiesta dell'interessato ai recapiti di cui alla Sezione 2.</w:t>
      </w:r>
    </w:p>
    <w:p>
      <w:pPr>
        <w:keepNext/>
        <w:spacing w:before="320" w:after="120"/>
      </w:pPr>
      <w:r>
        <w:rPr>
          <w:b/>
          <w:sz w:val="26"/>
        </w:rPr>
        <w:t>9. Certificazioni mediche e dati relativi allo stato di salute</w:t>
      </w:r>
    </w:p>
    <w:p>
      <w:pPr>
        <w:jc w:val="both"/>
      </w:pPr>
      <w:r>
        <w:rPr>
          <w:b w:val="0"/>
          <w:i w:val="0"/>
        </w:rPr>
        <w:t>La materia richiede una precisazione puntuale, tenuto conto della particolare tutela che l'articolo 9 del Regolamento riserva ai dati idonei a rivelare lo stato di salute.</w:t>
      </w:r>
    </w:p>
    <w:p>
      <w:pPr>
        <w:jc w:val="both"/>
      </w:pPr>
      <w:r>
        <w:rPr>
          <w:b/>
          <w:i w:val="0"/>
        </w:rPr>
        <w:t>Il Portale non consente il caricamento della certificazione medica.</w:t>
      </w:r>
      <w:r>
        <w:rPr>
          <w:b w:val="0"/>
          <w:i w:val="0"/>
        </w:rPr>
        <w:t xml:space="preserve"> Il documento rilasciato dal medico a esito della visita di idoneità all'attività sportiva, agonistica o non agonistica, non è acquisito dal sistema in alcun formato. La consegna del certificato al presidente della Società, secondo le procedure stabilite dalla normativa regionale applicabile, avviene al di fuori del Portale e resta estranea al perimetro dei trattamenti qui descritti.</w:t>
      </w:r>
    </w:p>
    <w:p>
      <w:pPr>
        <w:jc w:val="both"/>
      </w:pPr>
      <w:r>
        <w:rPr>
          <w:b/>
          <w:i w:val="0"/>
        </w:rPr>
        <w:t>Il Portale registra la sola data di scadenza.</w:t>
      </w:r>
      <w:r>
        <w:rPr>
          <w:b w:val="0"/>
          <w:i w:val="0"/>
        </w:rPr>
        <w:t xml:space="preserve"> Il soggetto autorizzato dalla Società inserisce nel sistema la data di scadenza della certificazione, al fine esclusivo di generare gli avvisi automatici di rinnovo destinati all'ente, all'arciere, e ove configurato al tecnico di riferimento. Non sono acquisiti la diagnosi, i referti, i parametri clinici, l'esito delle indagini strumentali, né alcuna annotazione medica.</w:t>
      </w:r>
    </w:p>
    <w:p>
      <w:pPr>
        <w:jc w:val="both"/>
      </w:pPr>
      <w:r>
        <w:rPr>
          <w:b/>
          <w:i w:val="0"/>
        </w:rPr>
        <w:t>Nessun dato relativo a stati di inidoneità.</w:t>
      </w:r>
      <w:r>
        <w:rPr>
          <w:b w:val="0"/>
          <w:i w:val="0"/>
        </w:rPr>
        <w:t xml:space="preserve"> Il sistema non prevede campi destinati a registrare l'eventuale giudizio di non idoneità, le patologie che lo determinino, o gli infortuni occorsi. Qualora una Società utilizzi impropriamente campi di testo libero per annotare informazioni di tale natura, la responsabilità del trattamento ricade sulla Società quale titolare, secondo la ripartizione di cui alla Sezione 5.2, e AMT si riserva la facoltà di richiederne la rimozione.</w:t>
      </w:r>
    </w:p>
    <w:p>
      <w:pPr>
        <w:jc w:val="both"/>
      </w:pPr>
      <w:r>
        <w:rPr>
          <w:b/>
          <w:i w:val="0"/>
        </w:rPr>
        <w:t>Misure di cautela applicate.</w:t>
      </w:r>
      <w:r>
        <w:rPr>
          <w:b w:val="0"/>
          <w:i w:val="0"/>
        </w:rPr>
        <w:t xml:space="preserve"> Pur non costituendo la data di scadenza di una certificazione di idoneità, in sé considerata, un dato che riveli lo stato di salute dell'interessato, AMT ha ritenuto di applicare al campo in questione le medesime misure tecniche e organizzative previste per le categorie particolari di dati. La scelta risponde a un criterio prudenziale e trova riscontro nella cifratura del dato a riposo, nella limitazione dell'accesso ai soli soggetti autorizzati dalla Società, e nella registrazione di ogni consultazione nei log applicativi.</w:t>
      </w:r>
    </w:p>
    <w:p>
      <w:pPr>
        <w:jc w:val="both"/>
      </w:pPr>
      <w:r>
        <w:rPr>
          <w:b w:val="0"/>
          <w:i w:val="0"/>
        </w:rPr>
        <w:t>Nell'ipotesi in cui l'evoluzione funzionale del Portale dovesse comportare il trattamento di dati relativi alla salute in senso proprio, AMT provvederà ad aggiornare la presente informativa, a individuare la condizione di liceità applicabile fra quelle elencate all'articolo 9, paragrafo 2, del Regolamento, e a verificare la sussistenza dei presupposti per la valutazione d'impatto prescritta dall'articolo 35 del medesimo.</w:t>
      </w:r>
    </w:p>
    <w:p>
      <w:pPr>
        <w:keepNext/>
        <w:spacing w:before="320" w:after="120"/>
      </w:pPr>
      <w:r>
        <w:rPr>
          <w:b/>
          <w:sz w:val="26"/>
        </w:rPr>
        <w:t>10. Minori di età e account genitoriale</w:t>
      </w:r>
    </w:p>
    <w:p>
      <w:pPr>
        <w:jc w:val="both"/>
      </w:pPr>
      <w:r>
        <w:rPr>
          <w:b w:val="0"/>
          <w:i w:val="0"/>
        </w:rPr>
        <w:t>La pratica del tiro con l'arco coinvolge un numero significativo di minori. AMT ha conseguentemente predisposto un regime dedicato.</w:t>
      </w:r>
    </w:p>
    <w:p>
      <w:pPr>
        <w:keepNext/>
        <w:spacing w:before="220" w:after="80"/>
      </w:pPr>
      <w:r>
        <w:rPr>
          <w:b/>
          <w:sz w:val="23"/>
        </w:rPr>
        <w:t>10.1 Soglia di età per il consenso</w:t>
      </w:r>
    </w:p>
    <w:p>
      <w:pPr>
        <w:jc w:val="both"/>
      </w:pPr>
      <w:r>
        <w:rPr>
          <w:b w:val="0"/>
          <w:i w:val="0"/>
        </w:rPr>
        <w:t>L'articolo 8, paragrafo 1, del Regolamento fissa a sedici anni la soglia ordinaria per la validità del consenso prestato dal minore in relazione ai servizi della società dell'informazione, consentendo agli Stati membri di stabilire una soglia inferiore non al di sotto dei tredici anni. La Repubblica italiana si è avvalsa della facoltà mediante l'articolo 2-quinquies del Codice Privacy, che individua la soglia nei quattordici anni compiuti.</w:t>
      </w:r>
    </w:p>
    <w:p>
      <w:pPr>
        <w:jc w:val="both"/>
      </w:pPr>
      <w:r>
        <w:rPr>
          <w:b w:val="0"/>
          <w:i w:val="0"/>
        </w:rPr>
        <w:t>Il minore che abbia compiuto quattordici anni può pertanto prestare validamente il proprio consenso e registrarsi in via autonoma. Al di sotto di tale età la registrazione è consentita unicamente previo consenso prestato da chi esercita la responsabilità genitoriale.</w:t>
      </w:r>
    </w:p>
    <w:p>
      <w:pPr>
        <w:keepNext/>
        <w:spacing w:before="220" w:after="80"/>
      </w:pPr>
      <w:r>
        <w:rPr>
          <w:b/>
          <w:sz w:val="23"/>
        </w:rPr>
        <w:t>10.2 Funzionamento dell'account genitoriale</w:t>
      </w:r>
    </w:p>
    <w:p>
      <w:pPr>
        <w:jc w:val="both"/>
      </w:pPr>
      <w:r>
        <w:rPr>
          <w:b w:val="0"/>
          <w:i w:val="0"/>
        </w:rPr>
        <w:t>Il Portale consente a chi esercita la responsabilità genitoriale di attivare un proprio account e di collegarvi il profilo del minore. Il collegamento produce i seguenti effetti:</w:t>
      </w:r>
    </w:p>
    <w:p>
      <w:pPr>
        <w:pStyle w:val="ListBullet"/>
        <w:spacing w:after="120"/>
        <w:ind w:left="510"/>
      </w:pPr>
      <w:r>
        <w:rPr>
          <w:b/>
          <w:i w:val="0"/>
        </w:rPr>
        <w:t>Prestazione del consenso</w:t>
      </w:r>
      <w:r>
        <w:rPr>
          <w:b w:val="0"/>
          <w:i w:val="0"/>
        </w:rPr>
        <w:t>: il genitore presta, per il minore infraquattordicenne, il consenso ai trattamenti che ne richiedono la manifestazione, con registrazione della data e delle modalità della prestazione.</w:t>
      </w:r>
    </w:p>
    <w:p>
      <w:pPr>
        <w:pStyle w:val="ListBullet"/>
        <w:spacing w:after="120"/>
        <w:ind w:left="510"/>
      </w:pPr>
      <w:r>
        <w:rPr>
          <w:b/>
          <w:i w:val="0"/>
        </w:rPr>
        <w:t>Visibilità dei dati</w:t>
      </w:r>
      <w:r>
        <w:rPr>
          <w:b w:val="0"/>
          <w:i w:val="0"/>
        </w:rPr>
        <w:t>: il genitore accede ai dati sportivi, alle comunicazioni, e alle attività del minore all'interno del Portale.</w:t>
      </w:r>
    </w:p>
    <w:p>
      <w:pPr>
        <w:pStyle w:val="ListBullet"/>
        <w:spacing w:after="120"/>
        <w:ind w:left="510"/>
      </w:pPr>
      <w:r>
        <w:rPr>
          <w:b/>
          <w:i w:val="0"/>
        </w:rPr>
        <w:t>Esercizio dei diritti</w:t>
      </w:r>
      <w:r>
        <w:rPr>
          <w:b w:val="0"/>
          <w:i w:val="0"/>
        </w:rPr>
        <w:t>: le istanze relative ai diritti riconosciuti dagli articoli da 15 a 22 del Regolamento sono presentate dal genitore per conto del minore.</w:t>
      </w:r>
    </w:p>
    <w:p>
      <w:pPr>
        <w:pStyle w:val="ListBullet"/>
        <w:spacing w:after="120"/>
        <w:ind w:left="510"/>
      </w:pPr>
      <w:r>
        <w:rPr>
          <w:b/>
          <w:i w:val="0"/>
        </w:rPr>
        <w:t>Autorizzazione agli acquisti</w:t>
      </w:r>
      <w:r>
        <w:rPr>
          <w:b w:val="0"/>
          <w:i w:val="0"/>
        </w:rPr>
        <w:t>: le operazioni di acquisto dei videocorsi e di attivazione delle funzioni a pagamento richiedono la conferma dell'account genitoriale collegato.</w:t>
      </w:r>
    </w:p>
    <w:p>
      <w:pPr>
        <w:keepNext/>
        <w:spacing w:before="220" w:after="80"/>
      </w:pPr>
      <w:r>
        <w:rPr>
          <w:b/>
          <w:sz w:val="23"/>
        </w:rPr>
        <w:t>10.3 Verifiche e limiti</w:t>
      </w:r>
    </w:p>
    <w:p>
      <w:pPr>
        <w:jc w:val="both"/>
      </w:pPr>
      <w:r>
        <w:rPr>
          <w:b w:val="0"/>
          <w:i w:val="0"/>
        </w:rPr>
        <w:t>AMT compie sforzi ragionevoli, tenuto conto delle tecnologie disponibili, per accertare che il consenso sia prestato o autorizzato dal titolare della responsabilità genitoriale, secondo quanto prescritto dall'articolo 8, paragrafo 2, del Regolamento. Le verifiche si articolano nella richiesta della data di nascita in fase di registrazione, nell'attivazione della procedura di collegamento genitoriale per i profili che risultino riferiti a soggetti infraquattordicenni, e nell'invio di una comunicazione di conferma all'indirizzo di posta elettronica indicato dal genitore.</w:t>
      </w:r>
    </w:p>
    <w:p>
      <w:pPr>
        <w:jc w:val="both"/>
      </w:pPr>
      <w:r>
        <w:rPr>
          <w:b w:val="0"/>
          <w:i w:val="0"/>
        </w:rPr>
        <w:t xml:space="preserve">Le verifiche descritte non consentono di escludere in modo assoluto la dichiarazione di un'età non veritiera. Chiunque ritenga che un minore si sia registrato senza le necessarie autorizzazioni è invitato a segnalarlo all'indirizzo </w:t>
      </w:r>
      <w:hyperlink r:id="rId12">
        <w:r>
          <w:rPr>
            <w:color w:val="0563C1"/>
            <w:u w:val="single"/>
          </w:rPr>
          <w:t xml:space="preserve">info@archeryhub.it</w:t>
        </w:r>
      </w:hyperlink>
      <w:r>
        <w:rPr>
          <w:b w:val="0"/>
          <w:i w:val="0"/>
        </w:rPr>
        <w:t>, e AMT provvederà senza ritardo alle verifiche e alle eventuali cancellazioni.</w:t>
      </w:r>
    </w:p>
    <w:p>
      <w:pPr>
        <w:keepNext/>
        <w:spacing w:before="220" w:after="80"/>
      </w:pPr>
      <w:r>
        <w:rPr>
          <w:b/>
          <w:sz w:val="23"/>
        </w:rPr>
        <w:t>10.4 Trattamenti esclusi per i minori</w:t>
      </w:r>
    </w:p>
    <w:p>
      <w:pPr>
        <w:jc w:val="both"/>
      </w:pPr>
      <w:r>
        <w:rPr>
          <w:b w:val="0"/>
          <w:i w:val="0"/>
        </w:rPr>
        <w:t>Ai profili riferiti a minori di età non sono in alcun caso applicati trattamenti di profilazione a fini di marketing, né gli stessi sono inclusi negli insiemi di destinatari delle inserzioni pubblicitarie personalizzate descritte alla Sezione 12. Le informazioni rivolte ai minori sono redatte con linguaggio chiaro e semplice, secondo la prescrizione dell'articolo 2-quinquies, comma 2, del Codice Privacy.</w:t>
      </w:r>
    </w:p>
    <w:p>
      <w:pPr>
        <w:jc w:val="both"/>
      </w:pPr>
      <w:r>
        <w:rPr>
          <w:b w:val="0"/>
          <w:i w:val="0"/>
        </w:rPr>
        <w:t>Benché AMT rientri nella nozione di microimpresa e risulti pertanto esclusa dall'applicazione della Sezione 3 del Capo III del Regolamento (UE) 2022/2065, in forza dell'articolo 19 del medesimo, il Titolare ha ritenuto di conformarsi in via volontaria ai principi di tutela dei minori enunciati dall'articolo 28 di tale Regolamento.</w:t>
      </w:r>
    </w:p>
    <w:p>
      <w:pPr>
        <w:keepNext/>
        <w:spacing w:before="320" w:after="120"/>
      </w:pPr>
      <w:r>
        <w:rPr>
          <w:b/>
          <w:sz w:val="26"/>
        </w:rPr>
        <w:t>11. Dati provenienti dal portale federale</w:t>
      </w:r>
    </w:p>
    <w:p>
      <w:pPr>
        <w:jc w:val="both"/>
      </w:pPr>
      <w:r>
        <w:rPr>
          <w:b w:val="0"/>
          <w:i w:val="0"/>
        </w:rPr>
        <w:t xml:space="preserve">Il Portale acquisisce e rielabora informazioni pubblicate in area ad accesso libero dal sito istituzionale della Federazione Italiana di Tiro con l'Arco, raggiungibile all'indirizzo </w:t>
      </w:r>
      <w:hyperlink r:id="rId13">
        <w:r>
          <w:rPr>
            <w:color w:val="0563C1"/>
            <w:u w:val="single"/>
          </w:rPr>
          <w:t xml:space="preserve">www.fitarco.it</w:t>
        </w:r>
      </w:hyperlink>
      <w:r>
        <w:rPr>
          <w:b w:val="0"/>
          <w:i w:val="0"/>
        </w:rPr>
        <w:t>. Rientrano nell'ambito i calendari delle competizioni, le graduatorie nazionali, e i risultati ufficiali delle gare.</w:t>
      </w:r>
    </w:p>
    <w:p>
      <w:pPr>
        <w:jc w:val="both"/>
      </w:pPr>
      <w:r>
        <w:rPr>
          <w:b/>
          <w:i w:val="0"/>
        </w:rPr>
        <w:t>Nessun accesso ad aree riservate.</w:t>
      </w:r>
      <w:r>
        <w:rPr>
          <w:b w:val="0"/>
          <w:i w:val="0"/>
        </w:rPr>
        <w:t xml:space="preserve"> AMT non richiede, non acquisisce, e non conserva le credenziali di accesso degli arcieri all'area riservata del portale federale. Nessuna funzione del Portale preleva dati da sezioni protette del sito della Federazione. La scelta risponde a valutazioni di conformità alle condizioni d'uso del portale federale, oltre che alla necessità di evitare la custodia di credenziali altrui.</w:t>
      </w:r>
    </w:p>
    <w:p>
      <w:pPr>
        <w:jc w:val="both"/>
      </w:pPr>
      <w:r>
        <w:rPr>
          <w:b/>
          <w:i w:val="0"/>
        </w:rPr>
        <w:t>Base giuridica.</w:t>
      </w:r>
      <w:r>
        <w:rPr>
          <w:b w:val="0"/>
          <w:i w:val="0"/>
        </w:rPr>
        <w:t xml:space="preserve"> Il trattamento dei dati pubblici, quando riferibili a persone fisiche identificate o identificabili, si fonda sul legittimo interesse di AMT e degli utenti del Portale a disporre in forma organizzata di informazioni già lecitamente rese pubbliche dall'ente federale nell'esercizio delle proprie funzioni istituzionali. L'interessato conserva il diritto di opporsi al trattamento ai sensi dell'articolo 21 del Regolamento, secondo le modalità indicate alla Sezione 20.</w:t>
      </w:r>
    </w:p>
    <w:p>
      <w:pPr>
        <w:jc w:val="both"/>
      </w:pPr>
      <w:r>
        <w:rPr>
          <w:b/>
          <w:i w:val="0"/>
        </w:rPr>
        <w:t>Informativa ai sensi dell'articolo 14.</w:t>
      </w:r>
      <w:r>
        <w:rPr>
          <w:b w:val="0"/>
          <w:i w:val="0"/>
        </w:rPr>
        <w:t xml:space="preserve"> Trattandosi di dati non raccolti presso l'interessato, la presente sezione assolve agli obblighi informativi prescritti dall'articolo 14 del Regolamento. La fonte è costituita dalle pagine pubbliche del sito federale sopra indicato.</w:t>
      </w:r>
    </w:p>
    <w:p>
      <w:pPr>
        <w:jc w:val="both"/>
      </w:pPr>
      <w:r>
        <w:rPr>
          <w:b/>
          <w:i w:val="0"/>
        </w:rPr>
        <w:t>Limiti di responsabilità sull'esattezza.</w:t>
      </w:r>
      <w:r>
        <w:rPr>
          <w:b w:val="0"/>
          <w:i w:val="0"/>
        </w:rPr>
        <w:t xml:space="preserve"> AMT non esercita alcun controllo sull'esattezza e sull'aggiornamento delle informazioni pubblicate dalla Federazione. Le istanze di rettifica relative a dati di fonte federale devono essere rivolte in via primaria all'ente che li ha pubblicati; AMT provvede all'allineamento nel proprio sistema una volta intervenuta la correzione alla fonte, ovvero su segnalazione documentata dell'interessato.</w:t>
      </w:r>
    </w:p>
    <w:p>
      <w:pPr>
        <w:keepNext/>
        <w:spacing w:before="320" w:after="120"/>
      </w:pPr>
      <w:r>
        <w:rPr>
          <w:b/>
          <w:sz w:val="26"/>
        </w:rPr>
        <w:t>12. Inserzioni pubblicitarie e dati di preferenza commerciale</w:t>
      </w:r>
    </w:p>
    <w:p>
      <w:pPr>
        <w:jc w:val="both"/>
      </w:pPr>
      <w:r>
        <w:rPr>
          <w:b w:val="0"/>
          <w:i w:val="0"/>
        </w:rPr>
        <w:t>Gli operatori commerciali titolari di account attivo possono pubblicare inserzioni all'interno del Portale, secondo due modalità distinte.</w:t>
      </w:r>
    </w:p>
    <w:p>
      <w:pPr>
        <w:jc w:val="both"/>
      </w:pPr>
      <w:r>
        <w:rPr>
          <w:b/>
          <w:i w:val="0"/>
        </w:rPr>
        <w:t>Inserzioni generiche.</w:t>
      </w:r>
      <w:r>
        <w:rPr>
          <w:b w:val="0"/>
          <w:i w:val="0"/>
        </w:rPr>
        <w:t xml:space="preserve"> Il messaggio è mostrato indistintamente a tutti gli utenti che accedono alla sezione interessata, senza alcuna selezione fondata sulle caratteristiche individuali. L'operazione non comporta profilazione e non richiede il consenso dell'interessato.</w:t>
      </w:r>
    </w:p>
    <w:p>
      <w:pPr>
        <w:jc w:val="both"/>
      </w:pPr>
      <w:r>
        <w:rPr>
          <w:b/>
          <w:i w:val="0"/>
        </w:rPr>
        <w:t>Inserzioni personalizzate.</w:t>
      </w:r>
      <w:r>
        <w:rPr>
          <w:b w:val="0"/>
          <w:i w:val="0"/>
        </w:rPr>
        <w:t xml:space="preserve"> Il messaggio è mostrato agli utenti che presentino determinate caratteristiche, individuate sulla base dei dati relativi all'attrezzatura utilizzata o della lista dei desideri. L'operazione integra un trattamento di profilazione ai sensi dell'articolo 4, numero 4), del Regolamento, e viene eseguita esclusivamente in presenza di consenso specifico prestato dall'arciere, revocabile in ogni momento dalle impostazioni del profilo.</w:t>
      </w:r>
    </w:p>
    <w:p>
      <w:pPr>
        <w:jc w:val="both"/>
      </w:pPr>
      <w:r>
        <w:rPr>
          <w:b/>
          <w:i w:val="0"/>
        </w:rPr>
        <w:t>Assenza di identificazione da parte dell'inserzionista.</w:t>
      </w:r>
      <w:r>
        <w:rPr>
          <w:b w:val="0"/>
          <w:i w:val="0"/>
        </w:rPr>
        <w:t xml:space="preserve"> In entrambe le ipotesi, l'operatore commerciale definisce i criteri dell'inserzione e riceve dati statistici aggregati sulle visualizzazioni ottenute. Il medesimo non accede ai dati identificativi degli arcieri raggiunti dal messaggio, non riceve elenchi nominativi, e non è posto in condizione di ricondurre un dato di preferenza a una persona fisica determinata. L'associazione fra il profilo dell'arciere e i criteri di selezione è eseguita dai sistemi di AMT e non è resa disponibile a terzi.</w:t>
      </w:r>
    </w:p>
    <w:p>
      <w:pPr>
        <w:jc w:val="both"/>
      </w:pPr>
      <w:r>
        <w:rPr>
          <w:b/>
          <w:i w:val="0"/>
        </w:rPr>
        <w:t>Esclusione dei minori.</w:t>
      </w:r>
      <w:r>
        <w:rPr>
          <w:b w:val="0"/>
          <w:i w:val="0"/>
        </w:rPr>
        <w:t xml:space="preserve"> I profili riferiti a minori di età sono esclusi da qualunque insieme di destinatari di inserzioni personalizzate, secondo quanto già precisato alla Sezione 10.4.</w:t>
      </w:r>
    </w:p>
    <w:p>
      <w:pPr>
        <w:keepNext/>
        <w:spacing w:before="320" w:after="120"/>
      </w:pPr>
      <w:r>
        <w:rPr>
          <w:b/>
          <w:sz w:val="26"/>
        </w:rPr>
        <w:t>13. Videocorsi, contenuti didattici, e ripartizione dei proventi</w:t>
      </w:r>
    </w:p>
    <w:p>
      <w:pPr>
        <w:jc w:val="both"/>
      </w:pPr>
      <w:r>
        <w:rPr>
          <w:b w:val="0"/>
          <w:i w:val="0"/>
        </w:rPr>
        <w:t>La sezione del Portale dedicata alla formazione ospita contenuti audiovisivi prodotti da AMT, dalle Società, e dai Tecnici. La vendita al pubblico è effettuata in ogni caso da AMT, che incassa il corrispettivo in nome e per conto proprio e riconosce successivamente al produttore del contenuto la quota concordata.</w:t>
      </w:r>
    </w:p>
    <w:p>
      <w:pPr>
        <w:jc w:val="both"/>
      </w:pPr>
      <w:r>
        <w:rPr>
          <w:b w:val="0"/>
          <w:i w:val="0"/>
        </w:rPr>
        <w:t>Il trattamento dei dati dell'acquirente, comprensivo dei dati di pagamento gestiti dai prestatori di servizi indicati alla Sezione 15, si fonda sull'esecuzione del contratto. I dati relativi alla fruizione, quali lo stato di avanzamento e la cronologia delle sessioni, sono trattati per consentire la ripresa della visione e per la generazione delle rendicontazioni.</w:t>
      </w:r>
    </w:p>
    <w:p>
      <w:pPr>
        <w:jc w:val="both"/>
      </w:pPr>
      <w:r>
        <w:rPr>
          <w:b w:val="0"/>
          <w:i w:val="0"/>
        </w:rPr>
        <w:t>Al produttore del contenuto sono comunicati esclusivamente dati aggregati relativi al numero delle vendite e agli importi maturati, funzionali alla liquidazione della quota spettante. Non sono comunicati i dati identificativi degli acquirenti, salvo che la comunicazione risulti necessaria per l'adempimento di obblighi di legge o per l'esercizio del diritto di difesa.</w:t>
      </w:r>
    </w:p>
    <w:p>
      <w:pPr>
        <w:jc w:val="both"/>
      </w:pPr>
      <w:r>
        <w:rPr>
          <w:b w:val="0"/>
          <w:i w:val="0"/>
        </w:rPr>
        <w:t>I contenuti trasmessi ad AMT ai fini della pubblicazione sono sottoposti a verifica preventiva volta ad accertarne la conformità alle condizioni generali del Portale e all'assenza di materiale illecito o gravemente inappropriato. La verifica ha per oggetto il contenuto e non comporta trattamento di dati personali ulteriori rispetto a quelli identificativi del produttore.</w:t>
      </w:r>
    </w:p>
    <w:p>
      <w:pPr>
        <w:keepNext/>
        <w:spacing w:before="320" w:after="120"/>
      </w:pPr>
      <w:r>
        <w:rPr>
          <w:b/>
          <w:sz w:val="26"/>
        </w:rPr>
        <w:t>14. Contabilità, richieste di pagamento, e trasmissione telematica dei documenti</w:t>
      </w:r>
    </w:p>
    <w:p>
      <w:pPr>
        <w:jc w:val="both"/>
      </w:pPr>
      <w:r>
        <w:rPr>
          <w:b w:val="0"/>
          <w:i w:val="0"/>
        </w:rPr>
        <w:t>Il modulo contabile consente alla Società di registrare i movimenti economici, di emettere richieste di pagamento verso arcieri e tecnici, di generare ricevute, e di predisporre documenti destinati alla trasmissione al Sistema di Interscambio dell'Agenzia delle Entrate.</w:t>
      </w:r>
    </w:p>
    <w:p>
      <w:pPr>
        <w:jc w:val="both"/>
      </w:pPr>
      <w:r>
        <w:rPr>
          <w:b/>
          <w:i w:val="0"/>
        </w:rPr>
        <w:t>Ruolo di AMT.</w:t>
      </w:r>
      <w:r>
        <w:rPr>
          <w:b w:val="0"/>
          <w:i w:val="0"/>
        </w:rPr>
        <w:t xml:space="preserve"> Con riferimento ai dati inseriti nel modulo contabile, AMT opera quale responsabile del trattamento per conto della Società, secondo la ripartizione di cui alla Sezione 5.2. La determinazione delle finalità contabili e fiscali, la correttezza delle registrazioni, e la valutazione degli obblighi tributari applicabili competono in via esclusiva alla Società.</w:t>
      </w:r>
    </w:p>
    <w:p>
      <w:pPr>
        <w:jc w:val="both"/>
      </w:pPr>
      <w:r>
        <w:rPr>
          <w:b/>
          <w:i w:val="0"/>
        </w:rPr>
        <w:t>Trasmissione al Sistema di Interscambio.</w:t>
      </w:r>
      <w:r>
        <w:rPr>
          <w:b w:val="0"/>
          <w:i w:val="0"/>
        </w:rPr>
        <w:t xml:space="preserve"> L'invio telematico dei documenti fiscali presuppone il conferimento ad AMT, ovvero a un intermediario da questa indicato, della delega prevista dalla disciplina dell'Agenzia delle Entrate in materia di servizi di fatturazione elettronica. In assenza di delega validamente conferita e attiva, il Portale predispone il documento in formato conforme e ne consente il download, restando la trasmissione a carico della Società.</w:t>
      </w:r>
    </w:p>
    <w:p>
      <w:pPr>
        <w:jc w:val="both"/>
      </w:pPr>
      <w:r>
        <w:rPr>
          <w:b/>
          <w:i w:val="0"/>
        </w:rPr>
        <w:t>Conservazione.</w:t>
      </w:r>
      <w:r>
        <w:rPr>
          <w:b w:val="0"/>
          <w:i w:val="0"/>
        </w:rPr>
        <w:t xml:space="preserve"> I documenti contabili e fiscali sono conservati per il periodo prescritto dall'articolo 2220 del Codice civile e dalla disciplina tributaria applicabile. L'eventuale servizio di conservazione a norma è oggetto di pattuizione distinta.</w:t>
      </w:r>
    </w:p>
    <w:p>
      <w:pPr>
        <w:jc w:val="both"/>
      </w:pPr>
      <w:r>
        <w:rPr>
          <w:b/>
          <w:i w:val="0"/>
        </w:rPr>
        <w:t>Esportazione.</w:t>
      </w:r>
      <w:r>
        <w:rPr>
          <w:b w:val="0"/>
          <w:i w:val="0"/>
        </w:rPr>
        <w:t xml:space="preserve"> La Società può in ogni momento esportare i dati contabili in formato strutturato, anche ai fini della trasmissione al proprio consulente fiscale. L'operazione di esportazione e la successiva trasmissione a terzi ricadono nella responsabilità della Società.</w:t>
      </w:r>
    </w:p>
    <w:p>
      <w:pPr>
        <w:keepNext/>
        <w:spacing w:before="320" w:after="120"/>
      </w:pPr>
      <w:r>
        <w:rPr>
          <w:b/>
          <w:sz w:val="26"/>
        </w:rPr>
        <w:t>15. Pagamenti</w:t>
      </w:r>
    </w:p>
    <w:p>
      <w:pPr>
        <w:jc w:val="both"/>
      </w:pPr>
      <w:r>
        <w:rPr>
          <w:b w:val="0"/>
          <w:i w:val="0"/>
        </w:rPr>
        <w:t>I pagamenti degli abbonamenti dovuti ad AMT e degli acquisti effettuati nell'area corsi sono gestiti da Stripe Payments Europe, Limited, con sede in Dublino, che rende disponibili il pagamento con carta e la dilazione in tre rate offerta da Klarna Bank AB (publ), con sede in Stoccolma. È altresì ammesso il pagamento mediante bonifico bancario. AMT non acquisisce, non tratta, e non conserva i dati completi degli strumenti di pagamento, quali il numero della carta, la data di scadenza, e il codice di sicurezza. Tali informazioni sono trasmesse direttamente al prestatore, che opera in qualità di titolare autonomo del trattamento nell'ambito delle proprie funzioni di prestatore di servizi di pagamento.</w:t>
      </w:r>
    </w:p>
    <w:p>
      <w:pPr>
        <w:jc w:val="both"/>
      </w:pPr>
      <w:r>
        <w:rPr>
          <w:b w:val="0"/>
          <w:i w:val="0"/>
        </w:rPr>
        <w:t>AMT riceve e conserva unicamente i dati necessari alla riconciliazione contabile, quali l'identificativo della transazione, l'importo, la data, l'esito, e le ultime cifre dello strumento utilizzato.</w:t>
      </w:r>
    </w:p>
    <w:p>
      <w:pPr>
        <w:jc w:val="both"/>
      </w:pPr>
      <w:r>
        <w:rPr>
          <w:b w:val="0"/>
          <w:i w:val="0"/>
        </w:rPr>
        <w:t>Le Società che attivino strumenti di incasso verso i propri tesserati mediante collegamento di un proprio conto presso Stripe Payments Europe, Limited oppure presso PayPal (Europe) S.à r.l. et Cie, S.C.A., con sede in Lussemburgo, instaurano un rapporto diretto con il prestatore prescelto, del quale AMT resta estranea. L'eventuale offerta di soluzioni di pagamento dilazionato ricade nella disciplina del credito ai consumatori, oggetto del Decreto Legislativo 31 dicembre 2025, n. 212, di recepimento della Direttiva (UE) 2023/2225, le cui disposizioni trovano applicazione a decorrere dal 20 novembre 2026. La verifica della conformità di tali strumenti compete al prestatore che li eroga e alla Società che li propone.</w:t>
      </w:r>
    </w:p>
    <w:p>
      <w:pPr>
        <w:keepNext/>
        <w:spacing w:before="320" w:after="120"/>
      </w:pPr>
      <w:r>
        <w:rPr>
          <w:b/>
          <w:sz w:val="26"/>
        </w:rPr>
        <w:t>16. Destinatari dei dati</w:t>
      </w:r>
    </w:p>
    <w:p>
      <w:pPr>
        <w:jc w:val="both"/>
      </w:pPr>
      <w:r>
        <w:rPr>
          <w:b w:val="0"/>
          <w:i w:val="0"/>
        </w:rPr>
        <w:t>I dati personali possono essere resi accessibili, per le finalità sopra indicate, alle seguenti categorie di destinatari:</w:t>
      </w:r>
    </w:p>
    <w:p>
      <w:pPr>
        <w:pStyle w:val="ListBullet"/>
        <w:spacing w:after="120"/>
        <w:ind w:left="510"/>
      </w:pPr>
      <w:r>
        <w:rPr>
          <w:b/>
          <w:i w:val="0"/>
        </w:rPr>
        <w:t>Soggetti autorizzati al trattamento</w:t>
      </w:r>
      <w:r>
        <w:rPr>
          <w:b w:val="0"/>
          <w:i w:val="0"/>
        </w:rPr>
        <w:t>: le persone fisiche che operano sotto l'autorità del Titolare, istruite ai sensi dell'articolo 29 del Regolamento e vincolate a obbligo di riservatezza.</w:t>
      </w:r>
    </w:p>
    <w:p>
      <w:pPr>
        <w:pStyle w:val="ListBullet"/>
        <w:spacing w:after="120"/>
        <w:ind w:left="510"/>
      </w:pPr>
      <w:r>
        <w:rPr>
          <w:b/>
          <w:i w:val="0"/>
        </w:rPr>
        <w:t>Fornitori di servizi di infrastruttura: i prestatori di servizi di cloud computing e di hosting presso i quali risiedono i sistemi del Portale, attualmente Google quanto all'ambiente applicativo e Aruba S.p.A. quanto alla registrazione del dominio e alle caselle di posta, designati responsabili del trattamento ai sensi dell'articolo 28 del Regolamento.</w:t>
      </w:r>
      <w:r>
        <w:rPr>
          <w:b w:val="0"/>
          <w:i w:val="0"/>
        </w:rPr>
      </w:r>
    </w:p>
    <w:p>
      <w:pPr>
        <w:pStyle w:val="ListBullet"/>
        <w:spacing w:after="120"/>
        <w:ind w:left="510"/>
      </w:pPr>
      <w:r>
        <w:rPr>
          <w:b/>
          <w:i w:val="0"/>
        </w:rPr>
        <w:t>Fornitori di servizi di comunicazione elettronica: i prestatori che curano l'invio delle comunicazioni di posta elettronica e delle notifiche, attualmente AFAI S.r.l. mediante la piattaforma AFAI PLATFORM.</w:t>
      </w:r>
      <w:r>
        <w:rPr>
          <w:b w:val="0"/>
          <w:i w:val="0"/>
        </w:rPr>
      </w:r>
    </w:p>
    <w:p>
      <w:pPr>
        <w:pStyle w:val="ListBullet"/>
        <w:spacing w:after="120"/>
        <w:ind w:left="510"/>
      </w:pPr>
      <w:r>
        <w:rPr>
          <w:b/>
          <w:i w:val="0"/>
        </w:rPr>
        <w:t>Prestatori di servizi di pagamento</w:t>
      </w:r>
      <w:r>
        <w:rPr>
          <w:b w:val="0"/>
          <w:i w:val="0"/>
        </w:rPr>
        <w:t>: gli istituti autorizzati che gestiscono le operazioni di incasso, operanti quali titolari autonomi.</w:t>
      </w:r>
    </w:p>
    <w:p>
      <w:pPr>
        <w:pStyle w:val="ListBullet"/>
        <w:spacing w:after="120"/>
        <w:ind w:left="510"/>
      </w:pPr>
      <w:r>
        <w:rPr>
          <w:b/>
          <w:i w:val="0"/>
        </w:rPr>
        <w:t>Consulenti e professionisti</w:t>
      </w:r>
      <w:r>
        <w:rPr>
          <w:b w:val="0"/>
          <w:i w:val="0"/>
        </w:rPr>
        <w:t>: i soggetti che assistono il Titolare in materia contabile, fiscale, e legale, nei limiti delle rispettive competenze.</w:t>
      </w:r>
    </w:p>
    <w:p>
      <w:pPr>
        <w:pStyle w:val="ListBullet"/>
        <w:spacing w:after="120"/>
        <w:ind w:left="510"/>
      </w:pPr>
      <w:r>
        <w:rPr>
          <w:b/>
          <w:i w:val="0"/>
        </w:rPr>
        <w:t>Società sportive e Tecnici</w:t>
      </w:r>
      <w:r>
        <w:rPr>
          <w:b w:val="0"/>
          <w:i w:val="0"/>
        </w:rPr>
        <w:t>: limitatamente ai dati degli arcieri a essi collegati e nei limiti dei permessi configurati, secondo quanto descritto alla Sezione 5.2.</w:t>
      </w:r>
    </w:p>
    <w:p>
      <w:pPr>
        <w:pStyle w:val="ListBullet"/>
        <w:spacing w:after="120"/>
        <w:ind w:left="510"/>
      </w:pPr>
      <w:r>
        <w:rPr>
          <w:b/>
          <w:i w:val="0"/>
        </w:rPr>
        <w:t>Autorità competenti</w:t>
      </w:r>
      <w:r>
        <w:rPr>
          <w:b w:val="0"/>
          <w:i w:val="0"/>
        </w:rPr>
        <w:t>: le pubbliche autorità alle quali la comunicazione sia dovuta in forza di legge, di regolamento, o di provvedimento dell'autorità giudiziaria.</w:t>
      </w:r>
    </w:p>
    <w:p>
      <w:pPr>
        <w:jc w:val="both"/>
      </w:pPr>
      <w:r>
        <w:rPr>
          <w:b w:val="0"/>
          <w:i w:val="0"/>
        </w:rPr>
        <w:t>L'elenco aggiornato e nominativo dei responsabili del trattamento designati è disponibile su richiesta dell'interessato, da inoltrare ai recapiti indicati alla Sezione 2.</w:t>
      </w:r>
    </w:p>
    <w:p>
      <w:pPr>
        <w:jc w:val="both"/>
      </w:pPr>
      <w:r>
        <w:rPr>
          <w:b/>
          <w:i w:val="0"/>
        </w:rPr>
        <w:t>Assenza di cessione a terzi.</w:t>
      </w:r>
      <w:r>
        <w:rPr>
          <w:b w:val="0"/>
          <w:i w:val="0"/>
        </w:rPr>
        <w:t xml:space="preserve"> I dati personali non sono ceduti, venduti, o comunque trasferiti a terzi per finalità commerciali proprie di questi ultimi.</w:t>
      </w:r>
    </w:p>
    <w:p>
      <w:pPr>
        <w:keepNext/>
        <w:spacing w:before="320" w:after="120"/>
      </w:pPr>
      <w:r>
        <w:rPr>
          <w:b/>
          <w:sz w:val="26"/>
        </w:rPr>
        <w:t>17. Trasferimenti verso Paesi terzi</w:t>
      </w:r>
    </w:p>
    <w:p>
      <w:pPr>
        <w:jc w:val="both"/>
      </w:pPr>
      <w:r>
        <w:rPr>
          <w:b w:val="0"/>
          <w:i w:val="0"/>
        </w:rPr>
        <w:t>L'infrastruttura del Portale è ospitata su servizi di cloud computing erogati da Google. AMT ha configurato i propri ambienti in modo tale che l'archiviazione dei dati avvenga in regioni situate nel territorio dell'Unione europea. Non è tuttavia possibile escludere in modo assoluto che talune operazioni di supporto tecnico, di manutenzione, o di sicurezza comportino accessi da parte di personale situato in Paesi terzi.</w:t>
      </w:r>
    </w:p>
    <w:p>
      <w:pPr>
        <w:jc w:val="both"/>
      </w:pPr>
      <w:r>
        <w:rPr>
          <w:b w:val="0"/>
          <w:i w:val="0"/>
        </w:rPr>
        <w:t>Ove ricorra tale ipotesi, il trasferimento è assistito dalle garanzie previste dal Capo V del Regolamento. Con riferimento agli Stati Uniti d'America, la Commissione europea ha adottato la decisione di esecuzione (UE) 2023/1795 del 10 luglio 2023, che accerta l'adeguatezza del livello di protezione garantito dal quadro denominato EU-US Data Privacy Framework per i trasferimenti verso organizzazioni ivi certificate. La validità della decisione è stata confermata dal Tribunale dell'Unione europea con sentenza del 3 settembre 2025 nella causa T-553/23; avverso tale pronuncia risulta pendente impugnazione dinanzi alla Corte di giustizia, iscritta al ruolo con il numero C-703/25 P.</w:t>
      </w:r>
    </w:p>
    <w:p>
      <w:pPr>
        <w:jc w:val="both"/>
      </w:pPr>
      <w:r>
        <w:rPr>
          <w:b w:val="0"/>
          <w:i w:val="0"/>
        </w:rPr>
        <w:t>In via ulteriore e in funzione suppletiva, i rapporti con i fornitori sono regolati dalle clausole contrattuali tipo adottate dalla Commissione europea con decisione di esecuzione (UE) 2021/914 del 4 giugno 2021, integrate dalle misure supplementari ritenute necessarie a esito della valutazione condotta sul singolo trasferimento.</w:t>
      </w:r>
    </w:p>
    <w:p>
      <w:pPr>
        <w:jc w:val="both"/>
      </w:pPr>
      <w:r>
        <w:rPr>
          <w:b w:val="0"/>
          <w:i w:val="0"/>
        </w:rPr>
        <w:t>L'interessato può ottenere copia delle garanzie adottate rivolgendo istanza ai recapiti di cui alla Sezione 2.</w:t>
      </w:r>
    </w:p>
    <w:p>
      <w:pPr>
        <w:keepNext/>
        <w:spacing w:before="320" w:after="120"/>
      </w:pPr>
      <w:r>
        <w:rPr>
          <w:b/>
          <w:sz w:val="26"/>
        </w:rPr>
        <w:t>18. Processi decisionali automatizzati</w:t>
      </w:r>
    </w:p>
    <w:p>
      <w:pPr>
        <w:jc w:val="both"/>
      </w:pPr>
      <w:r>
        <w:rPr>
          <w:b w:val="0"/>
          <w:i w:val="0"/>
        </w:rPr>
        <w:t>Non sono in essere processi decisionali interamente automatizzati, compresa la profilazione, che producano effetti giuridici sull'interessato o che incidano in modo analogamente significativo sulla sua persona, ai sensi dell'articolo 22 del Regolamento.</w:t>
      </w:r>
    </w:p>
    <w:p>
      <w:pPr>
        <w:jc w:val="both"/>
      </w:pPr>
      <w:r>
        <w:rPr>
          <w:b w:val="0"/>
          <w:i w:val="0"/>
        </w:rPr>
        <w:t>Le elaborazioni automatiche eseguite dal Portale hanno natura strumentale e si esauriscono nella generazione degli avvisi di scadenza, nel calcolo delle statistiche sportive, nella selezione dei destinatari delle inserzioni secondo i criteri descritti alla Sezione 12, e nella predisposizione dei prospetti contabili. Nessuna di tali elaborazioni determina l'esclusione dell'interessato da un servizio, l'attribuzione di un punteggio reputazionale, o conseguenze di natura contrattuale.</w:t>
      </w:r>
    </w:p>
    <w:p>
      <w:pPr>
        <w:keepNext/>
        <w:spacing w:before="320" w:after="120"/>
      </w:pPr>
      <w:r>
        <w:rPr>
          <w:b/>
          <w:sz w:val="26"/>
        </w:rPr>
        <w:t>19. Periodi di conservazione</w:t>
      </w:r>
    </w:p>
    <w:p>
      <w:pPr>
        <w:jc w:val="both"/>
      </w:pPr>
      <w:r>
        <w:rPr>
          <w:b w:val="0"/>
          <w:i w:val="0"/>
        </w:rPr>
        <w:t>I criteri di determinazione dei periodi di conservazione sono esposti in sintesi nella tabella di cui alla Sezione 8 e trovano disciplina compiuta nella Policy sui tempi di conservazione dei dati adottata dal Titolare, disponibile su richiesta.</w:t>
      </w:r>
    </w:p>
    <w:p>
      <w:pPr>
        <w:jc w:val="both"/>
      </w:pPr>
      <w:r>
        <w:rPr>
          <w:b w:val="0"/>
          <w:i w:val="0"/>
        </w:rPr>
        <w:t>Il principio generale prevede la conservazione per il tempo strettamente necessario al conseguimento delle finalità perseguite, salvo che una disposizione di legge imponga o consenta una conservazione più estesa. Decorso il termine, i dati sono cancellati ovvero resi anonimi in modo irreversibile.</w:t>
      </w:r>
    </w:p>
    <w:p>
      <w:pPr>
        <w:jc w:val="both"/>
      </w:pPr>
      <w:r>
        <w:rPr>
          <w:b w:val="0"/>
          <w:i w:val="0"/>
        </w:rPr>
        <w:t>La chiusura dell'account comporta la cancellazione dei contenuti caricati e dei dati sportivi riferiti all'utente entro trenta giorni. I dati identificativi e quelli relativi allo svolgimento del rapporto contrattuale sono conservati per i dodici mesi successivi alla chiusura, al fine di consentire la trattazione di eventuali contestazioni e delle richieste di riattivazione.</w:t>
      </w:r>
    </w:p>
    <w:p>
      <w:pPr>
        <w:jc w:val="both"/>
      </w:pPr>
      <w:r>
        <w:rPr>
          <w:b w:val="0"/>
          <w:i w:val="0"/>
        </w:rPr>
        <w:t>Restano ferme le seguenti eccezioni: i dati contenuti nei documenti contabili e fiscali sono conservati per il periodo prescritto dalla normativa tributaria; i dati necessari all'accertamento, all'esercizio, o alla difesa di un diritto in sede giudiziaria sono conservati sino allo spirare dei relativi termini di prescrizione; i dati inseriti da una Società nell'esercizio della propria titolarità restano soggetti alle determinazioni della medesima.</w:t>
      </w:r>
    </w:p>
    <w:p>
      <w:pPr>
        <w:keepNext/>
        <w:spacing w:before="320" w:after="120"/>
      </w:pPr>
      <w:r>
        <w:rPr>
          <w:b/>
          <w:sz w:val="26"/>
        </w:rPr>
        <w:t>20. Diritti dell'interessato</w:t>
      </w:r>
    </w:p>
    <w:p>
      <w:pPr>
        <w:jc w:val="both"/>
      </w:pPr>
      <w:r>
        <w:rPr>
          <w:b w:val="0"/>
          <w:i w:val="0"/>
        </w:rPr>
        <w:t>Il Regolamento riconosce all'interessato i diritti di seguito elencati, esercitabili nei limiti e alle condizioni ivi previste:</w:t>
      </w:r>
    </w:p>
    <w:p>
      <w:pPr>
        <w:pStyle w:val="ListBullet"/>
        <w:spacing w:after="120"/>
        <w:ind w:left="510"/>
      </w:pPr>
      <w:r>
        <w:rPr>
          <w:b/>
          <w:i w:val="0"/>
        </w:rPr>
        <w:t>Diritto di accesso, art. 15</w:t>
      </w:r>
      <w:r>
        <w:rPr>
          <w:b w:val="0"/>
          <w:i w:val="0"/>
        </w:rPr>
        <w:t>: ottenere la conferma dell'esistenza di un trattamento, accedere ai dati, e riceverne copia unitamente alle informazioni sulle finalità, sui destinatari, e sui periodi di conservazione.</w:t>
      </w:r>
    </w:p>
    <w:p>
      <w:pPr>
        <w:pStyle w:val="ListBullet"/>
        <w:spacing w:after="120"/>
        <w:ind w:left="510"/>
      </w:pPr>
      <w:r>
        <w:rPr>
          <w:b/>
          <w:i w:val="0"/>
        </w:rPr>
        <w:t>Diritto di rettifica, art. 16</w:t>
      </w:r>
      <w:r>
        <w:rPr>
          <w:b w:val="0"/>
          <w:i w:val="0"/>
        </w:rPr>
        <w:t>: ottenere la correzione dei dati inesatti e l'integrazione di quelli incompleti.</w:t>
      </w:r>
    </w:p>
    <w:p>
      <w:pPr>
        <w:pStyle w:val="ListBullet"/>
        <w:spacing w:after="120"/>
        <w:ind w:left="510"/>
      </w:pPr>
      <w:r>
        <w:rPr>
          <w:b/>
          <w:i w:val="0"/>
        </w:rPr>
        <w:t>Diritto alla cancellazione, art. 17</w:t>
      </w:r>
      <w:r>
        <w:rPr>
          <w:b w:val="0"/>
          <w:i w:val="0"/>
        </w:rPr>
        <w:t>: ottenere la rimozione dei dati nelle ipotesi tassativamente previste, fra cui il venir meno della necessità rispetto alle finalità e la revoca del consenso in assenza di altro fondamento.</w:t>
      </w:r>
    </w:p>
    <w:p>
      <w:pPr>
        <w:pStyle w:val="ListBullet"/>
        <w:spacing w:after="120"/>
        <w:ind w:left="510"/>
      </w:pPr>
      <w:r>
        <w:rPr>
          <w:b/>
          <w:i w:val="0"/>
        </w:rPr>
        <w:t>Diritto di limitazione, art. 18</w:t>
      </w:r>
      <w:r>
        <w:rPr>
          <w:b w:val="0"/>
          <w:i w:val="0"/>
        </w:rPr>
        <w:t>: ottenere che il trattamento sia circoscritto alla mera conservazione nelle ipotesi di contestazione dell'esattezza, di illiceità, o di opposizione pendente.</w:t>
      </w:r>
    </w:p>
    <w:p>
      <w:pPr>
        <w:pStyle w:val="ListBullet"/>
        <w:spacing w:after="120"/>
        <w:ind w:left="510"/>
      </w:pPr>
      <w:r>
        <w:rPr>
          <w:b/>
          <w:i w:val="0"/>
        </w:rPr>
        <w:t>Diritto alla portabilità, art. 20</w:t>
      </w:r>
      <w:r>
        <w:rPr>
          <w:b w:val="0"/>
          <w:i w:val="0"/>
        </w:rPr>
        <w:t>: ricevere in formato strutturato, di uso comune, e leggibile da dispositivo automatico i dati forniti al Titolare, e ottenerne la trasmissione diretta ad altro titolare ove tecnicamente fattibile.</w:t>
      </w:r>
    </w:p>
    <w:p>
      <w:pPr>
        <w:pStyle w:val="ListBullet"/>
        <w:spacing w:after="120"/>
        <w:ind w:left="510"/>
      </w:pPr>
      <w:r>
        <w:rPr>
          <w:b/>
          <w:i w:val="0"/>
        </w:rPr>
        <w:t>Diritto di opposizione, art. 21</w:t>
      </w:r>
      <w:r>
        <w:rPr>
          <w:b w:val="0"/>
          <w:i w:val="0"/>
        </w:rPr>
        <w:t>: opporsi in qualsiasi momento, per motivi connessi alla situazione particolare, ai trattamenti fondati sul legittimo interesse, nonché in ogni caso e senza necessità di motivazione ai trattamenti a fini di marketing diretto.</w:t>
      </w:r>
    </w:p>
    <w:p>
      <w:pPr>
        <w:pStyle w:val="ListBullet"/>
        <w:spacing w:after="120"/>
        <w:ind w:left="510"/>
      </w:pPr>
      <w:r>
        <w:rPr>
          <w:b/>
          <w:i w:val="0"/>
        </w:rPr>
        <w:t>Diritto di revoca del consenso, art. 7, par. 3</w:t>
      </w:r>
      <w:r>
        <w:rPr>
          <w:b w:val="0"/>
          <w:i w:val="0"/>
        </w:rPr>
        <w:t>: revocare in qualsiasi momento il consenso prestato, senza che ne risulti pregiudicata la liceità del trattamento effettuato anteriormente alla revoca.</w:t>
      </w:r>
    </w:p>
    <w:p>
      <w:pPr>
        <w:jc w:val="both"/>
      </w:pPr>
      <w:r>
        <w:rPr>
          <w:b w:val="0"/>
          <w:i w:val="0"/>
        </w:rPr>
        <w:t xml:space="preserve">Le istanze vanno indirizzate ad </w:t>
      </w:r>
      <w:hyperlink r:id="rId12">
        <w:r>
          <w:rPr>
            <w:color w:val="0563C1"/>
            <w:u w:val="single"/>
          </w:rPr>
          <w:t xml:space="preserve">info@archeryhub.it</w:t>
        </w:r>
      </w:hyperlink>
      <w:r>
        <w:rPr>
          <w:b w:val="0"/>
          <w:i w:val="0"/>
        </w:rPr>
        <w:t>. Il riscontro è fornito senza ingiustificato ritardo e comunque entro un mese dal ricevimento, prorogabile di ulteriori due mesi qualora la complessità o il numero delle richieste lo rendano necessario, con comunicazione all'interessato dei motivi della proroga.</w:t>
      </w:r>
    </w:p>
    <w:p>
      <w:pPr>
        <w:jc w:val="both"/>
      </w:pPr>
      <w:r>
        <w:rPr>
          <w:b w:val="0"/>
          <w:i w:val="0"/>
        </w:rPr>
        <w:t>L'esercizio dei diritti è gratuito. Nel caso di richieste manifestamente infondate o eccessive, in particolare per il loro carattere ripetitivo, il Titolare può addebitare un contributo spese ragionevole ovvero rifiutare di dare seguito all'istanza, motivandone le ragioni.</w:t>
      </w:r>
    </w:p>
    <w:p>
      <w:pPr>
        <w:jc w:val="both"/>
      </w:pPr>
      <w:r>
        <w:rPr>
          <w:b/>
          <w:i w:val="0"/>
        </w:rPr>
        <w:t>Istanze relative a dati inseriti da una Società o da un Tecnico.</w:t>
      </w:r>
      <w:r>
        <w:rPr>
          <w:b w:val="0"/>
          <w:i w:val="0"/>
        </w:rPr>
        <w:t xml:space="preserve"> Le richieste concernenti dati rispetto ai quali AMT opera quale responsabile sono trasmesse senza ritardo al titolare competente, con contestuale informazione all'interessato. Il riscontro nel merito compete a quest'ultimo.</w:t>
      </w:r>
    </w:p>
    <w:p>
      <w:pPr>
        <w:keepNext/>
        <w:spacing w:before="320" w:after="120"/>
      </w:pPr>
      <w:r>
        <w:rPr>
          <w:b/>
          <w:sz w:val="26"/>
        </w:rPr>
        <w:t>21. Reclamo all'autorità di controllo</w:t>
      </w:r>
    </w:p>
    <w:p>
      <w:pPr>
        <w:jc w:val="both"/>
      </w:pPr>
      <w:r>
        <w:rPr>
          <w:b w:val="0"/>
          <w:i w:val="0"/>
        </w:rPr>
        <w:t>L'interessato che ritenga il trattamento non conforme alla disciplina applicabile ha diritto di proporre reclamo al Garante per la protezione dei dati personali, ai sensi dell'articolo 77 del Regolamento e degli articoli 140-bis e seguenti del Codice Privacy.</w:t>
      </w:r>
    </w:p>
    <w:p>
      <w:pPr>
        <w:spacing w:after="40"/>
        <w:jc w:val="center"/>
      </w:pPr>
      <w:r>
        <w:rPr>
          <w:b/>
          <w:i w:val="0"/>
        </w:rPr>
        <w:t>Garante per la protezione dei dati personali</w:t>
      </w:r>
    </w:p>
    <w:p>
      <w:pPr>
        <w:spacing w:after="40"/>
        <w:jc w:val="center"/>
      </w:pPr>
      <w:r>
        <w:rPr>
          <w:b w:val="0"/>
          <w:i w:val="0"/>
        </w:rPr>
        <w:t>Piazza Venezia 11, 00187 Roma</w:t>
      </w:r>
    </w:p>
    <w:p>
      <w:pPr>
        <w:spacing w:after="40"/>
        <w:jc w:val="center"/>
      </w:pPr>
      <w:r>
        <w:rPr>
          <w:b w:val="0"/>
          <w:i w:val="0"/>
        </w:rPr>
        <w:t>Centralino: +39 06 696771</w:t>
      </w:r>
    </w:p>
    <w:p>
      <w:pPr>
        <w:spacing w:after="40"/>
        <w:jc w:val="center"/>
      </w:pPr>
      <w:r>
        <w:rPr>
          <w:b w:val="0"/>
          <w:i w:val="0"/>
        </w:rPr>
        <w:t xml:space="preserve">Posta elettronica: </w:t>
      </w:r>
      <w:hyperlink r:id="rId14">
        <w:r>
          <w:rPr>
            <w:color w:val="0563C1"/>
            <w:u w:val="single"/>
          </w:rPr>
          <w:t xml:space="preserve">protocollo@gpdp.it</w:t>
        </w:r>
      </w:hyperlink>
    </w:p>
    <w:p>
      <w:pPr>
        <w:spacing w:after="40"/>
        <w:jc w:val="center"/>
      </w:pPr>
      <w:r>
        <w:rPr>
          <w:b w:val="0"/>
          <w:i w:val="0"/>
        </w:rPr>
        <w:t xml:space="preserve">Posta elettronica certificata: </w:t>
      </w:r>
      <w:hyperlink r:id="rId15">
        <w:r>
          <w:rPr>
            <w:color w:val="0563C1"/>
            <w:u w:val="single"/>
          </w:rPr>
          <w:t xml:space="preserve">protocollo@pec.gpdp.it</w:t>
        </w:r>
      </w:hyperlink>
    </w:p>
    <w:p>
      <w:pPr>
        <w:spacing w:after="40"/>
        <w:jc w:val="center"/>
      </w:pPr>
      <w:r>
        <w:rPr>
          <w:b w:val="0"/>
          <w:i w:val="0"/>
        </w:rPr>
        <w:t xml:space="preserve">Sito istituzionale: </w:t>
      </w:r>
      <w:hyperlink r:id="rId16">
        <w:r>
          <w:rPr>
            <w:color w:val="0563C1"/>
            <w:u w:val="single"/>
          </w:rPr>
          <w:t xml:space="preserve">www.garanteprivacy.it</w:t>
        </w:r>
      </w:hyperlink>
    </w:p>
    <w:p>
      <w:pPr>
        <w:jc w:val="both"/>
      </w:pPr>
      <w:r>
        <w:rPr>
          <w:b w:val="0"/>
          <w:i w:val="0"/>
        </w:rPr>
        <w:t>Resta impregiudicata la facoltà di adire l'autorità giudiziaria ordinaria ai sensi dell'articolo 79 del Regolamento e dell'articolo 152 del Codice Privacy, nonché di agire per il risarcimento del danno secondo l'articolo 82 del Regolamento.</w:t>
      </w:r>
    </w:p>
    <w:p>
      <w:pPr>
        <w:keepNext/>
        <w:spacing w:before="320" w:after="120"/>
      </w:pPr>
      <w:r>
        <w:rPr>
          <w:b/>
          <w:sz w:val="26"/>
        </w:rPr>
        <w:t>22. Misure di sicurezza</w:t>
      </w:r>
    </w:p>
    <w:p>
      <w:pPr>
        <w:jc w:val="both"/>
      </w:pPr>
      <w:r>
        <w:rPr>
          <w:b w:val="0"/>
          <w:i w:val="0"/>
        </w:rPr>
        <w:t>AMT adotta misure tecniche e organizzative adeguate a garantire un livello di sicurezza commisurato al rischio, secondo quanto prescritto dall'articolo 32 del Regolamento. Le misure sono oggetto di riesame periodico e comprendono, allo stato:</w:t>
      </w:r>
    </w:p>
    <w:p>
      <w:pPr>
        <w:pStyle w:val="ListBullet"/>
        <w:spacing w:after="120"/>
        <w:ind w:left="510"/>
      </w:pPr>
      <w:r>
        <w:rPr>
          <w:b/>
          <w:i w:val="0"/>
        </w:rPr>
        <w:t>Cifratura delle comunicazioni</w:t>
      </w:r>
      <w:r>
        <w:rPr>
          <w:b w:val="0"/>
          <w:i w:val="0"/>
        </w:rPr>
        <w:t>: protezione dei canali mediante protocolli crittografici aggiornati, con esclusione delle versioni ritenute non più sicure.</w:t>
      </w:r>
    </w:p>
    <w:p>
      <w:pPr>
        <w:pStyle w:val="ListBullet"/>
        <w:spacing w:after="120"/>
        <w:ind w:left="510"/>
      </w:pPr>
      <w:r>
        <w:rPr>
          <w:b/>
          <w:i w:val="0"/>
        </w:rPr>
        <w:t>Cifratura dei dati a riposo</w:t>
      </w:r>
      <w:r>
        <w:rPr>
          <w:b w:val="0"/>
          <w:i w:val="0"/>
        </w:rPr>
        <w:t>: protezione degli archivi e delle copie di sicurezza mediante algoritmi conformi allo stato dell'arte.</w:t>
      </w:r>
    </w:p>
    <w:p>
      <w:pPr>
        <w:pStyle w:val="ListBullet"/>
        <w:spacing w:after="120"/>
        <w:ind w:left="510"/>
      </w:pPr>
      <w:r>
        <w:rPr>
          <w:b/>
          <w:i w:val="0"/>
        </w:rPr>
        <w:t>Controllo degli accessi</w:t>
      </w:r>
      <w:r>
        <w:rPr>
          <w:b w:val="0"/>
          <w:i w:val="0"/>
        </w:rPr>
        <w:t>: attribuzione dei privilegi secondo il principio del minimo privilegio, con revisione periodica delle abilitazioni e disattivazione tempestiva delle utenze non più necessarie.</w:t>
      </w:r>
    </w:p>
    <w:p>
      <w:pPr>
        <w:pStyle w:val="ListBullet"/>
        <w:spacing w:after="120"/>
        <w:ind w:left="510"/>
      </w:pPr>
      <w:r>
        <w:rPr>
          <w:b/>
          <w:i w:val="0"/>
        </w:rPr>
        <w:t>Autenticazione rafforzata</w:t>
      </w:r>
      <w:r>
        <w:rPr>
          <w:b w:val="0"/>
          <w:i w:val="0"/>
        </w:rPr>
        <w:t>: disponibilità del secondo fattore di autenticazione per gli account che dispongono di privilegi amministrativi.</w:t>
      </w:r>
    </w:p>
    <w:p>
      <w:pPr>
        <w:pStyle w:val="ListBullet"/>
        <w:spacing w:after="120"/>
        <w:ind w:left="510"/>
      </w:pPr>
      <w:r>
        <w:rPr>
          <w:b/>
          <w:i w:val="0"/>
        </w:rPr>
        <w:t>Registrazione degli eventi</w:t>
      </w:r>
      <w:r>
        <w:rPr>
          <w:b w:val="0"/>
          <w:i w:val="0"/>
        </w:rPr>
        <w:t>: tracciamento delle operazioni rilevanti compiute sui dati, con conservazione dei registri secondo i termini indicati alla Sezione 8.</w:t>
      </w:r>
    </w:p>
    <w:p>
      <w:pPr>
        <w:pStyle w:val="ListBullet"/>
        <w:spacing w:after="120"/>
        <w:ind w:left="510"/>
      </w:pPr>
      <w:r>
        <w:rPr>
          <w:b/>
          <w:i w:val="0"/>
        </w:rPr>
        <w:t>Copie di sicurezza</w:t>
      </w:r>
      <w:r>
        <w:rPr>
          <w:b w:val="0"/>
          <w:i w:val="0"/>
        </w:rPr>
        <w:t>: esecuzione di salvataggi periodici, con verifica dell'integrità e prova documentata delle procedure di ripristino.</w:t>
      </w:r>
    </w:p>
    <w:p>
      <w:pPr>
        <w:pStyle w:val="ListBullet"/>
        <w:spacing w:after="120"/>
        <w:ind w:left="510"/>
      </w:pPr>
      <w:r>
        <w:rPr>
          <w:b/>
          <w:i w:val="0"/>
        </w:rPr>
        <w:t>Separazione degli ambienti</w:t>
      </w:r>
      <w:r>
        <w:rPr>
          <w:b w:val="0"/>
          <w:i w:val="0"/>
        </w:rPr>
        <w:t>: distinzione fra ambiente di produzione, di collaudo, e di sviluppo, con divieto di impiego di dati reali negli ambienti diversi dalla produzione.</w:t>
      </w:r>
    </w:p>
    <w:p>
      <w:pPr>
        <w:pStyle w:val="ListBullet"/>
        <w:spacing w:after="120"/>
        <w:ind w:left="510"/>
      </w:pPr>
      <w:r>
        <w:rPr>
          <w:b/>
          <w:i w:val="0"/>
        </w:rPr>
        <w:t>Gestione delle vulnerabilità</w:t>
      </w:r>
      <w:r>
        <w:rPr>
          <w:b w:val="0"/>
          <w:i w:val="0"/>
        </w:rPr>
        <w:t>: applicazione tempestiva degli aggiornamenti di sicurezza e monitoraggio delle segnalazioni relative ai componenti impiegati.</w:t>
      </w:r>
    </w:p>
    <w:p>
      <w:pPr>
        <w:pStyle w:val="ListBullet"/>
        <w:spacing w:after="120"/>
        <w:ind w:left="510"/>
      </w:pPr>
      <w:r>
        <w:rPr>
          <w:b/>
          <w:i w:val="0"/>
        </w:rPr>
        <w:t>Formazione del personale</w:t>
      </w:r>
      <w:r>
        <w:rPr>
          <w:b w:val="0"/>
          <w:i w:val="0"/>
        </w:rPr>
        <w:t>: istruzione dei soggetti autorizzati sulle procedure di trattamento e sui comportamenti da osservare in caso di incidente.</w:t>
      </w:r>
    </w:p>
    <w:p>
      <w:pPr>
        <w:jc w:val="both"/>
      </w:pPr>
      <w:r>
        <w:rPr>
          <w:b w:val="0"/>
          <w:i w:val="0"/>
        </w:rPr>
        <w:t>Le procedure di gestione delle violazioni di dati personali sono disciplinate da apposito documento interno, adottato in conformità agli articoli 33 e 34 del Regolamento.</w:t>
      </w:r>
    </w:p>
    <w:p>
      <w:pPr>
        <w:keepNext/>
        <w:spacing w:before="320" w:after="120"/>
      </w:pPr>
      <w:r>
        <w:rPr>
          <w:b/>
          <w:sz w:val="26"/>
        </w:rPr>
        <w:t>23. Natura del conferimento</w:t>
      </w:r>
    </w:p>
    <w:p>
      <w:pPr>
        <w:jc w:val="both"/>
      </w:pPr>
      <w:r>
        <w:rPr>
          <w:b w:val="0"/>
          <w:i w:val="0"/>
        </w:rPr>
        <w:t>Il conferimento dei dati contrassegnati come obbligatori nei moduli di registrazione è necessario alla conclusione e all'esecuzione del contratto. Il rifiuto comporta l'impossibilità di attivare l'account e di accedere alle funzionalità del Portale.</w:t>
      </w:r>
    </w:p>
    <w:p>
      <w:pPr>
        <w:jc w:val="both"/>
      </w:pPr>
      <w:r>
        <w:rPr>
          <w:b w:val="0"/>
          <w:i w:val="0"/>
        </w:rPr>
        <w:t>Il conferimento dei dati richiesti in adempimento di obblighi di legge, in particolare di natura fiscale, è parimenti necessario. Il rifiuto preclude l'erogazione dei servizi a pagamento.</w:t>
      </w:r>
    </w:p>
    <w:p>
      <w:pPr>
        <w:jc w:val="both"/>
      </w:pPr>
      <w:r>
        <w:rPr>
          <w:b w:val="0"/>
          <w:i w:val="0"/>
        </w:rPr>
        <w:t>Il conferimento dei dati ulteriori, quali quelli relativi all'attrezzatura, alla lista dei desideri, e ai contenuti caricati, è facoltativo. Il rifiuto comporta unicamente l'indisponibilità delle corrispondenti funzioni, senza alcuna conseguenza sulla fruizione degli altri servizi.</w:t>
      </w:r>
    </w:p>
    <w:p>
      <w:pPr>
        <w:keepNext/>
        <w:spacing w:before="320" w:after="120"/>
      </w:pPr>
      <w:r>
        <w:rPr>
          <w:b/>
          <w:sz w:val="26"/>
        </w:rPr>
        <w:t>24. Comunicazioni promozionali</w:t>
      </w:r>
    </w:p>
    <w:p>
      <w:pPr>
        <w:jc w:val="both"/>
      </w:pPr>
      <w:r>
        <w:rPr>
          <w:b w:val="0"/>
          <w:i w:val="0"/>
        </w:rPr>
        <w:t>L'invio di comunicazioni promozionali relative ai servizi di AMT è subordinato al consenso dell'interessato, prestato in forma libera, specifica, e distinta rispetto alle altre finalità, secondo la disciplina dell'articolo 130, commi 1 e 2, del Codice Privacy.</w:t>
      </w:r>
    </w:p>
    <w:p>
      <w:pPr>
        <w:jc w:val="both"/>
      </w:pPr>
      <w:r>
        <w:rPr>
          <w:b w:val="0"/>
          <w:i w:val="0"/>
        </w:rPr>
        <w:t>Fa eccezione l'ipotesi contemplata dal comma 4 della medesima disposizione, che consente l'utilizzo delle coordinate di posta elettronica acquisite nel contesto della vendita di un prodotto o di un servizio ai fini della promozione diretta di servizi analoghi, purché l'interessato sia stato adeguatamente informato e non abbia manifestato opposizione. La Corte di cassazione, con ordinanza n. 15881 del 2025, ha precisato che il ricorso a tale facoltà presuppone un rapporto di vendita effettivamente instaurato, non essendo sufficiente la mera iscrizione a un servizio informativo.</w:t>
      </w:r>
    </w:p>
    <w:p>
      <w:pPr>
        <w:jc w:val="both"/>
      </w:pPr>
      <w:r>
        <w:rPr>
          <w:b w:val="0"/>
          <w:i w:val="0"/>
        </w:rPr>
        <w:t xml:space="preserve">Ogni comunicazione promozionale contiene un meccanismo di opposizione gratuito e di agevole attivazione. L'opposizione può altresì essere manifestata mediante le impostazioni del profilo ovvero comunicazione all'indirizzo </w:t>
      </w:r>
      <w:hyperlink r:id="rId12">
        <w:r>
          <w:rPr>
            <w:color w:val="0563C1"/>
            <w:u w:val="single"/>
          </w:rPr>
          <w:t xml:space="preserve">info@archeryhub.it</w:t>
        </w:r>
      </w:hyperlink>
      <w:r>
        <w:rPr>
          <w:b w:val="0"/>
          <w:i w:val="0"/>
        </w:rPr>
        <w:t>.</w:t>
      </w:r>
    </w:p>
    <w:p>
      <w:pPr>
        <w:jc w:val="both"/>
      </w:pPr>
      <w:r>
        <w:rPr>
          <w:b/>
          <w:i w:val="0"/>
        </w:rPr>
        <w:t>Pixel di tracciamento nelle comunicazioni di posta elettronica.</w:t>
      </w:r>
      <w:r>
        <w:rPr>
          <w:b w:val="0"/>
          <w:i w:val="0"/>
        </w:rPr>
        <w:t xml:space="preserve"> Il Garante per la protezione dei dati personali ha adottato, con provvedimento del 17 aprile 2026, n. 284, le Linee guida in materia di utilizzo di tracking pixel nelle comunicazioni di posta elettronica, pubblicate nella Gazzetta Ufficiale, Serie Generale, n. 98 del 29 aprile 2026, con termine di adeguamento fissato in sei mesi dalla pubblicazione. AMT non impiega pixel di tracciamento nelle proprie comunicazioni di posta elettronica. Qualora tale impiego fosse introdotto, esso avverrà previo consenso specifico dell'interessato, revocabile in modo granulare e distinto rispetto alla revoca del consenso all'invio della comunicazione, secondo le prescrizioni del provvedimento richiamato.</w:t>
      </w:r>
    </w:p>
    <w:p>
      <w:pPr>
        <w:keepNext/>
        <w:spacing w:before="320" w:after="120"/>
      </w:pPr>
      <w:r>
        <w:rPr>
          <w:b/>
          <w:sz w:val="26"/>
        </w:rPr>
        <w:t>25. Modifiche dell'informativa</w:t>
      </w:r>
    </w:p>
    <w:p>
      <w:pPr>
        <w:jc w:val="both"/>
      </w:pPr>
      <w:r>
        <w:rPr>
          <w:b w:val="0"/>
          <w:i w:val="0"/>
        </w:rPr>
        <w:t>AMT si riserva la facoltà di modificare la presente informativa per adeguarla a sopravvenienze normative, a pronunce delle autorità di controllo, ovvero a variazioni delle funzionalità del Portale.</w:t>
      </w:r>
    </w:p>
    <w:p>
      <w:pPr>
        <w:jc w:val="both"/>
      </w:pPr>
      <w:r>
        <w:rPr>
          <w:b w:val="0"/>
          <w:i w:val="0"/>
        </w:rPr>
        <w:t>Le modifiche sono pubblicate alla presente pagina, con contestuale aggiornamento della data indicata in apertura. Nel caso di modifiche che incidano in misura sostanziale sui trattamenti descritti, gli utenti registrati ne ricevono comunicazione all'indirizzo di posta elettronica associato all'account, con congruo preavviso rispetto alla decorrenza.</w:t>
      </w:r>
    </w:p>
    <w:p>
      <w:pPr>
        <w:jc w:val="both"/>
      </w:pPr>
      <w:r>
        <w:rPr>
          <w:b w:val="0"/>
          <w:i w:val="0"/>
        </w:rPr>
        <w:t>La versione applicabile a ciascun trattamento è quella vigente al momento in cui il trattamento è eseguito. Le versioni precedenti sono conservate dal Titolare e possono essere richieste ai recapiti indicati alla Sezione 2.</w:t>
      </w:r>
    </w:p>
    <w:p>
      <w:pPr>
        <w:spacing w:before="200" w:after="200"/>
        <w:jc w:val="center"/>
      </w:pPr>
      <w:r>
        <w:rPr>
          <w:color w:val="808080"/>
        </w:rPr>
        <w:t>*  *  *</w:t>
      </w:r>
    </w:p>
    <w:p>
      <w:pPr>
        <w:spacing w:after="40"/>
        <w:jc w:val="center"/>
      </w:pPr>
      <w:r>
        <w:rPr>
          <w:b w:val="0"/>
          <w:i w:val="0"/>
        </w:rPr>
        <w:t>Documento aggiornato al 6 agosto 2026</w:t>
      </w:r>
    </w:p>
    <w:p>
      <w:pPr>
        <w:spacing w:after="40"/>
        <w:jc w:val="center"/>
      </w:pPr>
      <w:r>
        <w:rPr>
          <w:b w:val="0"/>
          <w:i w:val="0"/>
        </w:rPr>
        <w:t>AMT di Francesco Toso</w:t>
      </w:r>
    </w:p>
    <w:sectPr w:rsidR="00FC693F" w:rsidRPr="0006063C" w:rsidSect="00034616">
      <w:footerReference w:type="default" r:id="rId9"/>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06060"/>
        <w:sz w:val="18"/>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before="0" w:line="276" w:lineRule="auto"/>
    </w:pPr>
    <w:rPr>
      <w:rFonts w:ascii="Calibri" w:hAnsi="Calibri" w:eastAsia="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archeryhub.it" TargetMode="External"/><Relationship Id="rId11" Type="http://schemas.openxmlformats.org/officeDocument/2006/relationships/hyperlink" Target="https://www.archeryhub.eu" TargetMode="External"/><Relationship Id="rId12" Type="http://schemas.openxmlformats.org/officeDocument/2006/relationships/hyperlink" Target="mailto:info@archeryhub.it" TargetMode="External"/><Relationship Id="rId13" Type="http://schemas.openxmlformats.org/officeDocument/2006/relationships/hyperlink" Target="https://www.fitarco.it" TargetMode="External"/><Relationship Id="rId14" Type="http://schemas.openxmlformats.org/officeDocument/2006/relationships/hyperlink" Target="mailto:protocollo@gpdp.it" TargetMode="External"/><Relationship Id="rId15" Type="http://schemas.openxmlformats.org/officeDocument/2006/relationships/hyperlink" Target="mailto:protocollo@pec.gpdp.it" TargetMode="External"/><Relationship Id="rId16" Type="http://schemas.openxmlformats.org/officeDocument/2006/relationships/hyperlink" Target="https://www.garanteprivacy.it" TargetMode="External"/><Relationship Id="rId17" Type="http://schemas.openxmlformats.org/officeDocument/2006/relationships/hyperlink" Target="mailto:toso.francesco@pe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